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A8" w:rsidRPr="00EE05A8" w:rsidRDefault="00EE05A8" w:rsidP="00EE05A8">
      <w:pPr>
        <w:rPr>
          <w:b/>
          <w:sz w:val="28"/>
        </w:rPr>
      </w:pPr>
      <w:r w:rsidRPr="00EE05A8">
        <w:rPr>
          <w:b/>
          <w:sz w:val="28"/>
        </w:rPr>
        <w:t>Illegittimità costituzionale art. 384 cp comma 2: la Consulta estende i casi di non punibilità</w:t>
      </w:r>
    </w:p>
    <w:p w:rsidR="00EE05A8" w:rsidRDefault="00EE05A8" w:rsidP="00EE05A8"/>
    <w:p w:rsidR="00EE05A8" w:rsidRDefault="00EE05A8" w:rsidP="00EE05A8">
      <w:r w:rsidRPr="00FC35E6">
        <w:rPr>
          <w:highlight w:val="yellow"/>
        </w:rPr>
        <w:t>Con sentenza n. 75 del 20 marzo 2009, la Corte costituzionale ha dichiarato l’illegittimità costituzionale dell’art. 384, secondo comma, del codice penale, nella parte in cui non prevede l’esclusione della punibilità per false o reticenti informazioni assunte dalla polizia giudiziaria, integranti per costante giurisprudenza il reato di favoreggiamento, fornite da chi non avrebbe potuto essere obbligato a renderle o comunque a rispondere in quanto persona indagata per reato probatoriamente collegato – a norma dell’art. 371, comma 2, lettera b), codice di procedura penale – a quello, commesso da altri, cui le dichiarazioni stesse si riferiscono</w:t>
      </w:r>
      <w:r w:rsidR="00FC35E6" w:rsidRPr="00FC35E6">
        <w:rPr>
          <w:highlight w:val="yellow"/>
        </w:rPr>
        <w:t>.</w:t>
      </w:r>
    </w:p>
    <w:p w:rsidR="00EE05A8" w:rsidRDefault="00EE05A8" w:rsidP="00EE05A8">
      <w:r>
        <w:t>Trattasi di tipica sentenza additiva ovvero di sentenza con cui la Corte introduce nell’ordinamento una nuova norma costituzionalmente necessitata (risultato peraltro a cui pervengono anche decisioni formalmente caducatorie, quando dichiarano la incostituzionalità di disposizioni che espressamente escludono qualcuno da qualcosa).</w:t>
      </w:r>
    </w:p>
    <w:p w:rsidR="00EE05A8" w:rsidRDefault="00EE05A8" w:rsidP="00EE05A8">
      <w:r>
        <w:t>Tale decisione prende spunto dalla ordinanza del Tribunale di Biella del 7 febbraio 2007 con cui è stata sollevata la questione di legittimità costituzionale, in riferimento all’art. 3 della Costituzione, dell’art. 384, secondo comma, del codice penale, nella parte in cui non prevede l’esclusione della punibilità per false o reticenti informazioni assunte dalla polizia giudiziaria, fornite da chi non avrebbe potuto essere obbligato a renderle o comunque a rispondere in quanto persona indagata di reato probatoriamente collegato (a norma dell’art. 371, comma 2, lettera b, del codice di procedura penale) a quello, commesso da altri, cui le dichiarazioni stesse si riferiscono.</w:t>
      </w:r>
    </w:p>
    <w:p w:rsidR="00EE05A8" w:rsidRDefault="00EE05A8" w:rsidP="00EE05A8">
      <w:r>
        <w:t>Nel merito il Tribunale di Biella è stato chiamato a decidere nel procedimento penale a carico di un soggetto imputato del delitto di favoreggiamento personale (art. 378 c.p.), per aver negato di conoscere colui dal quale aveva acquistato sostanze stupefacenti, ostacolando in tal modo l’attività investigativa.</w:t>
      </w:r>
    </w:p>
    <w:p w:rsidR="00EE05A8" w:rsidRDefault="00EE05A8" w:rsidP="00EE05A8">
      <w:r w:rsidRPr="00A252A2">
        <w:rPr>
          <w:b/>
          <w:highlight w:val="yellow"/>
        </w:rPr>
        <w:t>Investita della questione la Corte costituzionale ha osservato che mentre il mendacio e la reticenza davanti all’autorità giudiziaria configurano specifiche ipotesi di reato (art. 371 bis e 372 c.p.), le informazioni false o reticenti rese alla polizia giudiziaria, anche su delega del p.m.,  non rientrano in una particolare fattispecie di reato.</w:t>
      </w:r>
      <w:r w:rsidRPr="00FC35E6">
        <w:rPr>
          <w:highlight w:val="yellow"/>
        </w:rPr>
        <w:t xml:space="preserve"> Esse, tuttavia, come sottolinea la Consulta «non sono penalmente irrilevanti, in quanto possono concorrere, in presenza degli altri elementi previsti dalla legge, ad integrare il reato di favoreggiamento personale, ai sensi dell’art. 378 cod. pen.»</w:t>
      </w:r>
      <w:r>
        <w:t xml:space="preserve"> (cfr. sul punto, anche Cass. pen., sez. VI, n° 4227 del 1992, secondo cui «Non è configurabile il reato di false informazioni al pubblico ministero di cui all’art. 371-bis cod. pen., introdotto dall’art. 11 D.L. 8 giugno 1992 n. 306, nella condotta di chi renda false dichiarazioni alla polizia giudiziaria, neanche se questa operi su delega del P.M., giacché, diversamente opinando, si opererebbe un’interpretazione di tipo analogico su norma penale»).</w:t>
      </w:r>
    </w:p>
    <w:p w:rsidR="00EE05A8" w:rsidRDefault="00EE05A8" w:rsidP="00EE05A8">
      <w:r>
        <w:t>Peraltro, avuto riguardo all’espressa limitazione stabilita nel secondo comma dell’art. 384 c.p. alle fattispecie di reato in esso contemplate (né potendosi estendere al secondo comma il riferimento che all’art. 378 è fatto, in altro e diverso contesto, dal primo comma dello stesso art. 384), la non punibilità delle dichiarazioni mendaci formulate nelle circostanze previste nel detto art. 384, secondo comma, non si estende al caso in cui esse siano rese alla polizia giudiziaria.</w:t>
      </w:r>
    </w:p>
    <w:p w:rsidR="00EE05A8" w:rsidRDefault="00EE05A8" w:rsidP="00EE05A8">
      <w:r w:rsidRPr="00FC35E6">
        <w:rPr>
          <w:highlight w:val="yellow"/>
        </w:rPr>
        <w:t xml:space="preserve">Secondo il giudice delle leggi, «tale diversità di disciplina (…) è palesemente irragionevole». Al riguardo, come già messo in luce nella sentenza n. 416 del 1996, la Corte costituzionale, pur riconoscendo che il reato di false dichiarazioni rese al pubblico ministero (art. 371 bis c.p.) ed il reato di favoreggiamento dichiarativo (art. 378 c.p.) attengono ciascuno una fase distinta del procedimento, ne evidenzia la sostanziale omogeneità con riguardo al bene protetto «che consiste nella funzionalità di ciascuna fase rispetto agli scopi propri nelle quali le esigenze investigative e quelle della ricerca della verità si sommano», omogeneità evidente soprattutto nei casi in cui la p.g. agisce su delega del p.m.. Inoltre, la Consulta ricorda che, in base alle modifiche apportate dapprima dal decreto legge n. 306 del </w:t>
      </w:r>
      <w:r w:rsidR="00A252A2">
        <w:rPr>
          <w:highlight w:val="yellow"/>
        </w:rPr>
        <w:t xml:space="preserve"> </w:t>
      </w:r>
      <w:r w:rsidRPr="00FC35E6">
        <w:rPr>
          <w:highlight w:val="yellow"/>
        </w:rPr>
        <w:t>1992 e, successivamente, dalla legge n. 63 del 2001, in capo al soggetto chiamato a rendere dichiarazioni dinanzi alla polizia giudiziaria sussistono i medesimi obblighi, in termini di rispondere e dire il vero, gravanti in capo al soggetto chiamato a deporre dinanzi al pubblico ministero, sicché le dichiarazioni raccolte dalla polizia giudiziaria e quelle rese al pubblico ministero assumono la medesima valenza processale.</w:t>
      </w:r>
    </w:p>
    <w:p w:rsidR="00EE05A8" w:rsidRDefault="001A5D60" w:rsidP="00EE05A8">
      <w:r>
        <w:lastRenderedPageBreak/>
        <w:br/>
      </w:r>
      <w:r w:rsidR="00EE05A8">
        <w:t>Tale convergenza di disciplina processuale rende del tutto irragionevole il diverso regime giuridico riscontrabile tra le corrispondenti condotte di mendacio o reticenza, qualora esse siano riconducibili alle ipotesi di reato previste, rispettivamente, dall’art. 371-bis e dall’art. 378 c.p. (limitatamente alla condotta di false o reticenti informazioni assunte dalla polizia giudiziaria), non essendo applicabile alla seconda ipotesi (per mancata previsione normativa) la citata causa di non punibilità nel caso di assunzione d’informazioni ad opera della polizia giudiziaria, ancorché non sia configurabile in capo al dichiarante un obbligo di renderle o comunque di rispondere in quanto persona indagata per reato probatoriamente collegato, a norma dell’art. 371, comma 2, lettera b), c.p.p., a quello (commesso da altri) cui le dichiarazioni stesse si riferiscono.</w:t>
      </w:r>
    </w:p>
    <w:p w:rsidR="00EE05A8" w:rsidRDefault="00EE05A8" w:rsidP="00EE05A8">
      <w:r>
        <w:t>Ne consegue l’illegittimità costituzionale, per violazione dell’art. 3 Cost. sotto il profilo della ragionevolezza, dell’art. 384, comma 2, c.p., nella parte in cui non prevede l’esclusione della punibilità per false o reticenti informazioni assunte dalla polizia giudiziaria, fornite da chi non avrebbe potuto essere obbligato a renderle o comunque a rispondere per la ragione ora indicata.</w:t>
      </w:r>
    </w:p>
    <w:p w:rsidR="00EE05A8" w:rsidRDefault="00EE05A8" w:rsidP="00EE05A8"/>
    <w:p w:rsidR="00EE05A8" w:rsidRDefault="00EE05A8" w:rsidP="00EE05A8">
      <w:pPr>
        <w:jc w:val="right"/>
      </w:pPr>
      <w:r>
        <w:t xml:space="preserve"> a cura dell’Avv. Silvia Foglia</w:t>
      </w:r>
    </w:p>
    <w:p w:rsidR="00EE05A8" w:rsidRDefault="00EE05A8" w:rsidP="00EE05A8">
      <w:pPr>
        <w:jc w:val="right"/>
      </w:pPr>
      <w:r>
        <w:t>giugno 2009</w:t>
      </w:r>
    </w:p>
    <w:p w:rsidR="001A34B2" w:rsidRDefault="001A34B2"/>
    <w:p w:rsidR="00EE05A8" w:rsidRDefault="00EE05A8"/>
    <w:p w:rsidR="00EE05A8" w:rsidRDefault="00EE05A8"/>
    <w:p w:rsidR="00EE05A8" w:rsidRDefault="00EE05A8"/>
    <w:p w:rsidR="00EE05A8" w:rsidRDefault="00EE05A8"/>
    <w:p w:rsidR="00EE05A8" w:rsidRDefault="00EE05A8"/>
    <w:p w:rsidR="00EE05A8" w:rsidRDefault="00EE05A8"/>
    <w:p w:rsidR="00EE05A8" w:rsidRDefault="00EE05A8"/>
    <w:p w:rsidR="00FC35E6" w:rsidRDefault="00FC35E6"/>
    <w:p w:rsidR="00FC35E6" w:rsidRDefault="00FC35E6"/>
    <w:p w:rsidR="00FC35E6" w:rsidRDefault="00FC35E6"/>
    <w:p w:rsidR="00FC35E6" w:rsidRDefault="00FC35E6"/>
    <w:p w:rsidR="00FC35E6" w:rsidRDefault="00FC35E6"/>
    <w:p w:rsidR="00FC35E6" w:rsidRDefault="00FC35E6"/>
    <w:p w:rsidR="00FC35E6" w:rsidRDefault="00FC35E6"/>
    <w:p w:rsidR="00FC35E6" w:rsidRDefault="00FC35E6"/>
    <w:p w:rsidR="00FC35E6" w:rsidRDefault="00FC35E6"/>
    <w:p w:rsidR="00EE05A8" w:rsidRDefault="00EE05A8"/>
    <w:p w:rsidR="00EE05A8" w:rsidRDefault="00EE05A8"/>
    <w:p w:rsidR="00EE05A8" w:rsidRDefault="00EE05A8"/>
    <w:p w:rsidR="00EE05A8" w:rsidRDefault="00EE05A8" w:rsidP="00EE05A8">
      <w:r>
        <w:t xml:space="preserve">Sentenza 416/1996 </w:t>
      </w:r>
    </w:p>
    <w:p w:rsidR="00EE05A8" w:rsidRDefault="00EE05A8" w:rsidP="00EE05A8">
      <w:r>
        <w:t xml:space="preserve">Giudizio </w:t>
      </w:r>
      <w:proofErr w:type="spellStart"/>
      <w:r>
        <w:t>GIUDIZIO</w:t>
      </w:r>
      <w:proofErr w:type="spellEnd"/>
      <w:r>
        <w:t xml:space="preserve"> </w:t>
      </w:r>
      <w:proofErr w:type="spellStart"/>
      <w:r>
        <w:t>DI</w:t>
      </w:r>
      <w:proofErr w:type="spellEnd"/>
      <w:r>
        <w:t xml:space="preserve"> LEGITTIMITÀ COSTITUZIONALE IN VIA INCIDENTALE</w:t>
      </w:r>
    </w:p>
    <w:p w:rsidR="00EE05A8" w:rsidRDefault="00EE05A8" w:rsidP="00EE05A8">
      <w:r>
        <w:t xml:space="preserve"> Presidente GRANATA - Redattore </w:t>
      </w:r>
    </w:p>
    <w:p w:rsidR="00EE05A8" w:rsidRDefault="00EE05A8" w:rsidP="00EE05A8">
      <w:r>
        <w:t xml:space="preserve"> Camera di Consiglio del 13/11/1996    Decisione  del 12/12/1996 </w:t>
      </w:r>
    </w:p>
    <w:p w:rsidR="00EE05A8" w:rsidRDefault="00EE05A8" w:rsidP="00EE05A8">
      <w:r>
        <w:t xml:space="preserve">Deposito del 27/12/1996   Pubblicazione in G. U. 03/01/1997 </w:t>
      </w:r>
    </w:p>
    <w:p w:rsidR="00EE05A8" w:rsidRDefault="00EE05A8" w:rsidP="00EE05A8">
      <w:r>
        <w:t xml:space="preserve">Massima n. 23021 </w:t>
      </w:r>
    </w:p>
    <w:p w:rsidR="00EE05A8" w:rsidRDefault="00EE05A8" w:rsidP="00EE05A8">
      <w:r>
        <w:t>Titolo</w:t>
      </w:r>
    </w:p>
    <w:p w:rsidR="00EE05A8" w:rsidRDefault="00EE05A8" w:rsidP="00EE05A8">
      <w:r>
        <w:t>SENT. 416/96. REATO IN GENERE - FAVOREGGIAMENTO PERSONALE - IPOTESI DI FALSE DICHIARAZIONI RESE ALLA POLIZIA GIUDIZIARIA DAL CONVIVENTE 'MORE UXORIO' - CASI DI NON PUNIBILITA' - OMESSA PREVISIONE - RITENUTA SUSSISTENZA DELLA FACOLTA' DI ASTENERSI DAL RENDERE INFORMAZIONI E TESTIMONIANZE E DELL'OBBLIGO DEL RELATIVO AVVISO, POSTA LA SOSTANZIALE EQUIVALENZA DELL'IPOTESI SUDDETTA A QUELLA DI FALSE DICHIARAZIONI AL P.M. - PRETESA DISPARITA' DI TRATTAMENTO RISPETTO ALLA NON PUNIBILITA' PREVISTA NEL CASO DI OMESSO AVVISO DELLA FACOLTA' DI ASTENSIONE PER LE IPOTESI DI FALSE INFORMAZIONI AL P.M., FALSA TESTIMONIANZA, FALSA PERIZIA O INTERPRETAZIONE (ARTT. 371 - 'BIS', 372 E 373 DEL C.P.) - ILLEGITTIMITA' COSTITUZIONALE PARZIALE.</w:t>
      </w:r>
    </w:p>
    <w:p w:rsidR="00EE05A8" w:rsidRDefault="00EE05A8" w:rsidP="00EE05A8">
      <w:r>
        <w:t xml:space="preserve"> </w:t>
      </w:r>
    </w:p>
    <w:p w:rsidR="00EE05A8" w:rsidRDefault="00EE05A8" w:rsidP="00EE05A8">
      <w:r>
        <w:t>Testo</w:t>
      </w:r>
    </w:p>
    <w:p w:rsidR="00EE05A8" w:rsidRDefault="00EE05A8" w:rsidP="00EE05A8">
      <w:r>
        <w:t xml:space="preserve">E' costituzionalmente illegittimo, per violazione dell'art. 3 Cost., l'art. 384, comma 2, cod. pen., nella parte in cui non prevede l'esclusione della punibilita' per false o reticenti informazioni assunte dalla polizia giudiziaria, fornite da chi avrebbe dovuto essere avvertito della facolta' di astenersi dal renderle, a norma dell'art. 199 cod. proc. pen., in quanto -posto che l'art. 199 cod. proc. pen. riconosce la facolta' di astenersi dal testimoniare a coloro che siano o siano stati legati all'imputato da particolari vincoli di comunanza di vita; che dell'esistenza di tale facolta' questi soggetti devono essere avvertiti, a pena di nullita', dal giudice, il quale li interpella circa la loro volonta' di astenersi; che, in forza dei rinvii operati all'art. 199 dall'art. 362 e, attraverso questo, dall'art. 351, comma 1, seconda proposizione cod. proc. pen., la predetta disciplina prevista per la testimonianza resa al giudice si estende senza differenze alle informazioni rese al p.m. e alle sommarie informazioni assunte dalla p.g.; che a tale identita' di disciplina prevista dal codice di rito penale non corrisponde un'identica rilevanza sul piano penale sostanziale delle false dichiarazioni rese di fronte all'autorita' giudiziaria, al p.m. e alla p.g., in considerazione del fatto che, mentre nelle prime due ipotesi il mendacio e la reticenza configurano, rispettivamente, i reati di falsa testimonianza e di false informazioni al p.m. (artt. 372 e 371-bis cod. pen.), nella terza, pur mancando una specifica figura di reato, non puo' escludersi in linea di principio, l'ipotizzabilita' del delitto di favoreggiamento personale (art. 378 cod. pen.); e che, stante l'espressa limitazione stabilita nel secondo comma dell'art. 384 cod. pen. ai casi previsti dagli artt. 371-bis e 372, la non punibilita' delle dichiarazioni mendaci, nella prevista ipotesi di facolta' d'astensione, non si estende al caso in cui esse siano rese alla polizia giudiziaria - la diversita' di disciplina, che puo' riguardare comportamenti materiali identici, oltre a non trovare alcuna ragione giustificatrice in ordine ai presupposti processuali, che il legislatore ha voluto uguali in ogni caso, non si giustifica ne' rispetto alle conseguenze ne' rispetto alla gravita' dei comportamenti valutata dal legislatore medesimo. red.: S. Di Palma </w:t>
      </w:r>
    </w:p>
    <w:p w:rsidR="00EE05A8" w:rsidRDefault="00EE05A8" w:rsidP="00EE05A8"/>
    <w:p w:rsidR="00EE05A8" w:rsidRDefault="00EE05A8" w:rsidP="00EE05A8"/>
    <w:p w:rsidR="00EE05A8" w:rsidRDefault="00EE05A8" w:rsidP="00EE05A8"/>
    <w:p w:rsidR="00EE05A8" w:rsidRDefault="00EE05A8" w:rsidP="00EE05A8"/>
    <w:p w:rsidR="00EE05A8" w:rsidRPr="00EE05A8" w:rsidRDefault="00EE05A8" w:rsidP="00EE05A8">
      <w:pPr>
        <w:jc w:val="center"/>
        <w:rPr>
          <w:b/>
          <w:sz w:val="28"/>
        </w:rPr>
      </w:pPr>
      <w:r w:rsidRPr="00EE05A8">
        <w:rPr>
          <w:b/>
          <w:sz w:val="28"/>
        </w:rPr>
        <w:t>N. 416</w:t>
      </w:r>
    </w:p>
    <w:p w:rsidR="00EE05A8" w:rsidRPr="00EE05A8" w:rsidRDefault="00EE05A8" w:rsidP="00EE05A8">
      <w:pPr>
        <w:jc w:val="center"/>
        <w:rPr>
          <w:b/>
          <w:sz w:val="28"/>
        </w:rPr>
      </w:pPr>
      <w:r w:rsidRPr="00EE05A8">
        <w:rPr>
          <w:b/>
          <w:sz w:val="28"/>
        </w:rPr>
        <w:t>SENTENZA 12-27 DICEMBRE 1996</w:t>
      </w:r>
    </w:p>
    <w:p w:rsidR="00EE05A8" w:rsidRDefault="00EE05A8" w:rsidP="00EE05A8"/>
    <w:p w:rsidR="00EE05A8" w:rsidRDefault="00EE05A8" w:rsidP="00EE05A8">
      <w:pPr>
        <w:jc w:val="center"/>
      </w:pPr>
      <w:r>
        <w:t>LA CORTE COSTITUZIONALE</w:t>
      </w:r>
    </w:p>
    <w:p w:rsidR="00EE05A8" w:rsidRDefault="00EE05A8" w:rsidP="00EE05A8">
      <w:r>
        <w:t xml:space="preserve">composta dai signori: Presidente: dott. Renato GRANATA; Giudici: prof. Giuliano VASSALLI, prof. Francesco GUIZZI, prof. Cesare MIRABELLI, prof. Fernando SANTOSUOSSO, avv. Massimo VARI, dott. Cesare RUPERTO, dott. Riccardo CHIEPPA, prof. Gustavo ZAGREBELSKY, prof. Valerio ONIDA, prof. Carlo MEZZANOTTE, avv. Fernanda CONTRI, prof. Guido NEPPI MODONA, prof. Piero Alberto CAPOTOSTI; </w:t>
      </w:r>
    </w:p>
    <w:p w:rsidR="00EE05A8" w:rsidRDefault="00EE05A8" w:rsidP="00EE05A8">
      <w:r>
        <w:t>ha pronunciato la seguente</w:t>
      </w:r>
    </w:p>
    <w:p w:rsidR="00EE05A8" w:rsidRDefault="00EE05A8" w:rsidP="00EE05A8">
      <w:pPr>
        <w:jc w:val="center"/>
      </w:pPr>
      <w:r>
        <w:t>Sentenza</w:t>
      </w:r>
    </w:p>
    <w:p w:rsidR="00EE05A8" w:rsidRDefault="00EE05A8" w:rsidP="00EE05A8">
      <w:r>
        <w:t xml:space="preserve">nei giudizi di legittimità costituzionale dell'art. 384, secondo comma, del codice penale, promossi con ordinanze emesse: </w:t>
      </w:r>
    </w:p>
    <w:p w:rsidR="00EE05A8" w:rsidRDefault="00EE05A8" w:rsidP="00EE05A8">
      <w:r>
        <w:t xml:space="preserve">1) il 14 dicembre 1995 dal giudice per le indagini preliminari presso il tribunale di Patti nel procedimento penale a carico di Vicario Maria Concetta, iscritta al n. 192 del registro ordinanze 1996 e pubblicata nella Gazzetta Ufficiale della Repubblica n. 11, prima serie speciale, dell'anno 1996; </w:t>
      </w:r>
    </w:p>
    <w:p w:rsidR="00EE05A8" w:rsidRDefault="00EE05A8" w:rsidP="00EE05A8">
      <w:r>
        <w:t xml:space="preserve">2) il 20 marzo 1996 dal tribunale di Torino nel procedimento penale a carico di Brussolo Anna Maria, iscritta al n. 531 del registro ordinanze 1996 e pubblicata nella Gazzetta Ufficiale della Repubblica n. 25, prima serie speciale, dell'anno 1996; </w:t>
      </w:r>
    </w:p>
    <w:p w:rsidR="00EE05A8" w:rsidRDefault="00EE05A8" w:rsidP="00EE05A8">
      <w:r>
        <w:t xml:space="preserve">Visto l'atto di intervento del Presidente del Consiglio dei Ministri; </w:t>
      </w:r>
    </w:p>
    <w:p w:rsidR="00EE05A8" w:rsidRDefault="00EE05A8" w:rsidP="00EE05A8">
      <w:r>
        <w:t xml:space="preserve">Udito nella camera di consiglio del 13 novembre 1996 il giudice relatore Gustavo Zagrebelsky. </w:t>
      </w:r>
    </w:p>
    <w:p w:rsidR="00EE05A8" w:rsidRDefault="00EE05A8" w:rsidP="00EE05A8">
      <w:pPr>
        <w:jc w:val="center"/>
      </w:pPr>
      <w:r>
        <w:t>Ritenuto in fatto</w:t>
      </w:r>
    </w:p>
    <w:p w:rsidR="00EE05A8" w:rsidRDefault="00EE05A8" w:rsidP="00EE05A8">
      <w:r>
        <w:t xml:space="preserve">1.1. - Il giudice per le indagini preliminari presso il tribunale di Patti ha sollevato nel corso di un procedimento penale, con ordinanza del 14 dicembre 1995 (r.o. 192 del 1996), questione di legittimità costituzionale dell'art. 384, secondo comma, del codice penale, in riferimento all'art. 3 della Costituzione. </w:t>
      </w:r>
    </w:p>
    <w:p w:rsidR="00EE05A8" w:rsidRDefault="00EE05A8" w:rsidP="00EE05A8">
      <w:r>
        <w:t xml:space="preserve">1.2. - Dopo aver respinto una eccezione di incostituzionalità prospettata dalla difesa relativamente all'art. 384, primo comma, cod. pen., perché non rilevante nel processo data l'impossibilità di configurare in concreto gli estremi di questa specifica disposizione, il giudice rimettente reputa viceversa rilevante, e non manifestamente infondata, altra eccezione dedotta dalla parte, relativa questa volta all'art. 384, secondo comma, del codice penale: tale norma prevede una speciale causa di non punibilità in favore - tra altre ipotesi - di coloro che per legge avrebbero dovuto essere avvertiti della facoltà di astenersi dal rendere informazioni o testimonianza, ma solo in relazione ai reati di false informazioni al pubblico ministero o di falsa testimonianza (artt. 371-bis e 372 cod. pen.) e non anche in relazione al reato di favoreggiamento personale (art. 378 cod. pen.) che sia consistito nel rendere dichiarazioni false o reticenti alla polizia giudiziaria. </w:t>
      </w:r>
    </w:p>
    <w:p w:rsidR="00EE05A8" w:rsidRDefault="00EE05A8" w:rsidP="00EE05A8">
      <w:r>
        <w:t xml:space="preserve">Avuto riguardo al caso verificatosi nel procedimento a quo, in cui è imputata di favoreggiamento personale, per avere reso dichiarazioni mendaci alla polizia giudiziaria, una persona all'epoca convivente di fatto con altro imputato, il giudice rimettente osserva: a) che il presupposto dell'applicazione della speciale causa di non punibilità dell'art. 384, secondo comma, cod. pen. è individuato nella facoltà di astensione dall'obbligo dichiarativo e testimoniale; b) che l'art. 199 cod. proc. pen. prevede, al riguardo, tale facoltà di astensione, quanto alla testimonianza, anche per il convivente di fatto, limitatamente ai fatti verificatisi o appresi durante la convivenza; </w:t>
      </w:r>
      <w:r w:rsidRPr="006F5249">
        <w:rPr>
          <w:highlight w:val="yellow"/>
        </w:rPr>
        <w:t>c) che la stessa facoltà di astenersi è riconosciuta anche in ordine alle informazioni rese alla polizia giudiziaria (ex art. 351 cod. proc. pen.), giacché le dichiarazioni raccolte in tale sede assumono, a norma degli artt. 500 e 512 cod. proc. pen., lo stesso valore nel processo di quelle rese al pubblico ministero.</w:t>
      </w:r>
      <w:r>
        <w:t xml:space="preserve"> </w:t>
      </w:r>
    </w:p>
    <w:p w:rsidR="00EE05A8" w:rsidRDefault="00EE05A8" w:rsidP="00EE05A8">
      <w:r w:rsidRPr="006F5249">
        <w:rPr>
          <w:highlight w:val="yellow"/>
        </w:rPr>
        <w:t>Una volta rilevato che sussiste uno stesso presupposto, consistente nella facoltà di astensione dal rendere le dichiarazioni nelle varie sedi e dinanzi a diversi soggetti del processo, risulta priva di ragionevole giustificazione e pertanto lesiva dell'art. 3 della Costituzione l'applicazione della causa di non punibilità prevista dall'art. 384, secondo comma, cod. pen. ai soli reati ivi considerati, e cioè alla falsa testimonianza e alle false informazioni dinanzi al pubblico ministero, e non anche al reato di favoreggiamento personale allorché - e limitatamente al caso in cui - questo consista in dichiarazioni non veritiere rese dinanzi alla polizia giudiziaria.</w:t>
      </w:r>
      <w:r>
        <w:t xml:space="preserve"> </w:t>
      </w:r>
    </w:p>
    <w:p w:rsidR="00EE05A8" w:rsidRDefault="00EE05A8" w:rsidP="00EE05A8">
      <w:r>
        <w:t xml:space="preserve">1.3. - Nel giudizio così promosso è intervenuto il Presidente del Consiglio dei Ministri, rappresentato e difeso dall'Avvocatura generale dello Stato. </w:t>
      </w:r>
    </w:p>
    <w:p w:rsidR="00EE05A8" w:rsidRDefault="00EE05A8" w:rsidP="00EE05A8">
      <w:r>
        <w:t xml:space="preserve">L'interveniente osserva che la questione sollevata sollecita, senza volerlo (perché anteriore), a completare l'esame della tematica "rimasta in sospeso" a seguito della sentenza n. 8 del 1996 della Corte costituzionale. </w:t>
      </w:r>
    </w:p>
    <w:p w:rsidR="00EE05A8" w:rsidRDefault="00EE05A8" w:rsidP="00EE05A8">
      <w:r>
        <w:t xml:space="preserve">La questione, infatti, è formulata non già secondo l'impostazione della parificazione tra rapporto coniugale e convivenza di fatto, agli effetti dell'art. 384, primo comma, cod. pen., impostazione questa già respinta dalla Corte, bensì è prospettata in linea con le osservazioni contenute nella richiamata decisione circa la "ipotizzata discriminazione ... (concernente) ... non più soggetti distinti (il coniuge e il convivente) ma il medesimo soggetto (nella specie: un convivente), a seconda dell'autorità ricevente le sue dichiarazioni ...", e in rapporto alla causa di non punibilità apprestata dal secondo comma dell'art. 384 cod. pen.. Pur così formulata, però, la questione - anche a voler trascurare che si tratta di una richiesta di pronuncia additiva - non è fondata, ad avviso dell'Avvocatura: da un lato, non qualsiasi mendacio in sede di dichiarazioni alla polizia giudiziaria integra il reato di favoreggiamento, occorrendo a tal fine il verificarsi di tutti gli estremi della fattispecie di pericolo; dall'altro, non può dirsi irrazionale la scelta legislativa di rinunciare alla pretesa punitiva nei confronti di chi abbia alterato un mezzo di prova, come la testimonianza, e di non rinunciarvi, invece, nei riguardi di chi, anche se con dichiarazione analoga, ma resa in uno stadio diverso del procedimento, produce l'effetto di "aiutare taluno a eludere le investigazioni dell'autorità o a sottrarsi alle ricerche di questa", come prevede la fattispecie incriminatrice che trova applicazione in tali ipotesi. La diversa incidenza delle due condotte - solo sul regime della prova, l'una; sull'investigazione e sulla ricerca dell'indagato, l'altra - giustifica in conclusione, in riferimento al parametro costituzionale invocato, la diversa disciplina apprestata dalla norma denunciata. </w:t>
      </w:r>
    </w:p>
    <w:p w:rsidR="00EE05A8" w:rsidRDefault="00EE05A8" w:rsidP="00EE05A8">
      <w:r>
        <w:t xml:space="preserve">2. - Questione analoga è stata sollevata dal tribunale di Torino, con ordinanza del 20 marzo 1996 (r.o. 531 del 1996) emessa nel corso del medesimo procedimento penale nel quale era stata sollevata, dallo stesso Tribunale, la questione relativa all'art. 384, primo comma, cod. pen., poi decisa dalla Corte costituzionale con la sentenza n. 8 del 1996 citata. </w:t>
      </w:r>
    </w:p>
    <w:p w:rsidR="00EE05A8" w:rsidRDefault="00EE05A8" w:rsidP="00EE05A8">
      <w:r>
        <w:t xml:space="preserve">Muovendo dalle notazioni contenute in quella decisione, il giudice rimettente sottopone a verifica di costituzionalità, sul piano della ragionevolezza, la mancata inclusione del reato di favoreggiamento personale tra quelli per cui può operare la causa di non punibilità in argomento, nonostante la comune disciplina processuale quanto alla facoltà di astensione, e in relazione al medesimo soggetto (nella specie, una persona convivente di fatto dell'imputato), richiamando a sostegno del quesito le considerazioni svolte nella citata sentenza n. 8 del 1996. </w:t>
      </w:r>
    </w:p>
    <w:p w:rsidR="00EE05A8" w:rsidRDefault="00EE05A8" w:rsidP="00EE05A8">
      <w:pPr>
        <w:jc w:val="center"/>
      </w:pPr>
      <w:r>
        <w:t>Considerato in diritto</w:t>
      </w:r>
    </w:p>
    <w:p w:rsidR="00EE05A8" w:rsidRDefault="00EE05A8" w:rsidP="00EE05A8">
      <w:r>
        <w:t xml:space="preserve">1. - Il secondo comma dell'articolo 384 del codice penale esclude la punibilità di chi abbia reso false informazioni al pubblico ministero (art. 371-bis cod. pen.) e falsa testimonianza (art. 372 cod. pen.), se il fatto è commesso da chi per legge avrebbe dovuto essere avvertito della facoltà di astenersi dal rendere informazioni o testimonianza. L'esclusione della punibilità non è invece prevista nei confronti dei medesimi soggetti, nel caso di reato commesso attraverso informazioni non veritiere assunte dalla polizia giudiziaria (art. 351 cod. proc. pen., come novellato dall'art. 4 del d.-l. 8 giugno 1992, n. 306, convertito in legge 7 agosto 1992, n. 356). I giudici rimettenti dubitano della legittimità costituzionale di tale omissione, in riferimento all'art. 3 della Costituzione, sotto il profilo del rispetto del canone della razionalità delle scelte legislative. </w:t>
      </w:r>
    </w:p>
    <w:p w:rsidR="00EE05A8" w:rsidRDefault="00EE05A8" w:rsidP="00EE05A8">
      <w:r>
        <w:t xml:space="preserve">2. - Poiché le ordinanze di rinvio investono la medesima disposizione e pongono la medesima questione, i relativi giudizi possono essere riuniti per essere decisi con unica sentenza. </w:t>
      </w:r>
    </w:p>
    <w:p w:rsidR="00EE05A8" w:rsidRDefault="00EE05A8" w:rsidP="00EE05A8">
      <w:r>
        <w:t xml:space="preserve">3. - La questione è fondata. </w:t>
      </w:r>
    </w:p>
    <w:p w:rsidR="00EE05A8" w:rsidRDefault="00EE05A8" w:rsidP="00EE05A8">
      <w:r>
        <w:t xml:space="preserve">4.1. - L'art. 199 del codice di procedura penale riconosce la facoltà di astenersi dal testimoniare a coloro che siano o siano stati legati all'imputato da particolari vincoli di comunanza di vita: i prossimi congiunti (primo comma), l'adottante o l'adottato nonché - limitatamente ai fatti verificatisi o appresi dall'imputato durante la convivenza coniugale - chi convive o ha convissuto in rapporto di fatto, il coniuge separato, la persona nei cui confronti sia intervenuta sentenza di annullamento, scioglimento o cessazione degli effetti civili del matrimonio contratto con l'imputato (terzo comma). Dell'esistenza di tale facoltà, questi soggetti, a pena di nullità, devono essere avvertiti dal giudice, il quale li interpella circa la loro volontà di astenersi (secondo comma). </w:t>
      </w:r>
      <w:r w:rsidRPr="006F5249">
        <w:rPr>
          <w:highlight w:val="yellow"/>
        </w:rPr>
        <w:t>In forza poi della serie di rinvii al suddetto art. 199 operati dall'art. 362, nonché, attraverso l'art. 362, dall'art. 351, primo comma, seconda proposizione, del codice di procedura penale, la suddetta disciplina prevista per la testimonianza resa al giudice si estende senza differenze alle informazioni rese al pubblico ministero e alle sommarie informazioni assunte dalla polizia giudiziaria.</w:t>
      </w:r>
      <w:r>
        <w:t xml:space="preserve"> </w:t>
      </w:r>
    </w:p>
    <w:p w:rsidR="00EE05A8" w:rsidRDefault="00EE05A8" w:rsidP="00EE05A8">
      <w:r>
        <w:t xml:space="preserve">Ai soggetti indicati dall'art. 199 cod. proc. pen. si applica dunque la medesima disciplina processuale, quali che siano le autorità che raccolgono le dichiarazioni e quale che sia il momento processuale in cui esse siano rese. Non solo: attraverso il medesimo meccanismo di rimandi, l'identità di disciplina processuale si unisce all'identità degli obblighi e dei limiti degli obblighi che gravano sui dichiaranti, previsti dagli artt. 197 (Incompatibilità con l'ufficio di testimone), 198 (Obblighi del testimone, che comprende esplicitamente quello di rispondere secondo verità alle domande), 200 (Segreto professionale), 201 e 202 (Segreto d'ufficio e di Stato) e 203 (Informatori della polizia giudiziaria e dei servizi di sicurezza) del codice di procedura penale. </w:t>
      </w:r>
    </w:p>
    <w:p w:rsidR="00EE05A8" w:rsidRPr="006F5249" w:rsidRDefault="00EE05A8" w:rsidP="00EE05A8">
      <w:pPr>
        <w:rPr>
          <w:b/>
        </w:rPr>
      </w:pPr>
      <w:r w:rsidRPr="00A252A2">
        <w:rPr>
          <w:highlight w:val="yellow"/>
        </w:rPr>
        <w:t>A tale identità di disciplina prevista dal codice di procedura penale non corrisponde peraltro un'identica rilevanza sul piano penale sostanziale delle false dichiarazioni rese di fronte all'Autorità giudiziaria, al pubblico ministero e alla polizia giudiziaria.</w:t>
      </w:r>
      <w:r w:rsidRPr="006F5249">
        <w:rPr>
          <w:b/>
          <w:highlight w:val="yellow"/>
        </w:rPr>
        <w:t xml:space="preserve"> Di fronte all'Autorità giudiziaria, il mendacio e la reticenza configurano il reato di falsa testimonianza (art. 372 cod. pen.) e, di fronte al pubblico ministero, il reato di false informazioni al pubblico ministero (art. 371-bis cod. pen.). Manca invece una figura di reato specifica, relativamente alle informazioni false o reticenti alla polizia giudiziaria (incluse nella stesura originaria dell'art. 371-bis (False informazioni al pubblico ministero e alla polizia giudiziaria), secondo la formulazione contenuta nell'art. 11, comma 1, del d.-l. 11 giugno 1992, n. 306 ma escluse al momento della conversione del decreto nella legge 7 agosto 1992, n. 356). Le false informazioni alla polizia giudiziaria, tuttavia, pur non rientrando in una specifica figura di reato, non cadono necessariamente nel campo del penalmente irrilevante, non essendo escluso, in linea di principio, che esse possano concorrere, in presenza degli altri elementi previsti dalla legge, a integrare il reato di favoreggiamento personale, a norma dell'art. 378 cod. pen..</w:t>
      </w:r>
      <w:r w:rsidRPr="006F5249">
        <w:rPr>
          <w:b/>
        </w:rPr>
        <w:t xml:space="preserve"> </w:t>
      </w:r>
    </w:p>
    <w:p w:rsidR="00EE05A8" w:rsidRDefault="00EE05A8" w:rsidP="00EE05A8">
      <w:r>
        <w:t xml:space="preserve">Stante l'espressa limitazione stabilita nel secondo comma dell'art. 384 cod. pen. ai casi previsti dagli artt. 371-bis e 372 e non potendosi estendere al secondo comma il riferimento che all'art. 378 è fatto, in altro contesto, dal primo, la non punibilità delle dichiarazioni mendaci, nella prevista ipotesi di facoltà d'astensione, non si estende al caso in cui esse siano rese alla polizia giudiziaria. </w:t>
      </w:r>
    </w:p>
    <w:p w:rsidR="00EE05A8" w:rsidRDefault="00EE05A8" w:rsidP="00EE05A8">
      <w:r>
        <w:t xml:space="preserve">4.2. - Ma che la ricerca di plausibili ragioni giustificative di tale diversità di disciplina possa avere esito positivo è escluso da queste constatazioni: (a) l'identità di condotte materiali che possono risultare rilevanti nelle diverse ipotesi, innanzitutto; (b) </w:t>
      </w:r>
      <w:r w:rsidRPr="00931BF0">
        <w:rPr>
          <w:highlight w:val="yellow"/>
        </w:rPr>
        <w:t>l'omogeneità del bene protetto, non necessariamente identico ma in ogni caso consistente nella funzionalità di ciascuna fase rispetto agli scopi propri, nei quali le esigenze investigative (massime all'inizio del procedimento) e quelle della ricerca della verità (massime alla fine del processo) si sommano inestricabilmente</w:t>
      </w:r>
      <w:r>
        <w:t xml:space="preserve">, cosicché gli artt. 378, 371-bis e 372 finiscono in pratica per presidiare ciascuno una fase distinta del procedimento e del processo, restando simmetricamente esclusa - per predominante giurisprudenza - l'eventualità che la stessa condotta integri la violazione di più d'una di tali norme, secondo lo schema del concorso formale di reati (art. 81 cod. pen.); (c) </w:t>
      </w:r>
      <w:r w:rsidRPr="00931BF0">
        <w:rPr>
          <w:highlight w:val="yellow"/>
        </w:rPr>
        <w:t>l'identica rilevanza nel processo delle dichiarazioni rese alla polizia giudiziaria e al pubblico ministero (art. 500 e 512 cod. proc. pen.)</w:t>
      </w:r>
      <w:r>
        <w:t xml:space="preserve">; (d) </w:t>
      </w:r>
      <w:r w:rsidRPr="00931BF0">
        <w:rPr>
          <w:highlight w:val="yellow"/>
        </w:rPr>
        <w:t>la gravità dei fatti di reato, quale risulta dagli apprezzamenti del legislatore stesso circa la misura della pena prevista per l'illecito commesso di fronte alla polizia giudiziaria e per quello di fronte al pubblico ministero (la reclusione fino a quattro anni, secondo, rispettivamente, l'art. 378, primo comma, e l'art. 371-bis, primo comma, cod. pen.) - misura inferiore a quella prevista dall'art. 372 cod. pen. per la falsa testimonianza (la reclusione da due a sei anni).</w:t>
      </w:r>
      <w:r>
        <w:t xml:space="preserve"> </w:t>
      </w:r>
    </w:p>
    <w:p w:rsidR="00EE05A8" w:rsidRDefault="00EE05A8" w:rsidP="00EE05A8">
      <w:r>
        <w:t xml:space="preserve">Ma soprattutto conduce a ritenere irrazionale l'anzidetta disparità di trattamento la scelta operata dal legislatore processuale - attraverso l'art. 199 cod. proc. pen. e i rinvii a esso contenuti negli artt. 362 e 351 - di attribuire rilevanza ai rapporti interpersonali ivi indicati in tutte le circostanze in cui il soggetto sia chiamato a rendere informazioni, quale che sia l'autorità che deve raccoglierle e senza distinzioni di fasi processuali. </w:t>
      </w:r>
    </w:p>
    <w:p w:rsidR="00EE05A8" w:rsidRDefault="00EE05A8" w:rsidP="00EE05A8">
      <w:r>
        <w:t xml:space="preserve">La diversità di disciplina, che può riguardare comportamenti materiali identici, oltre a non trovare alcuna ragione giustificatrice in ordine ai presupposti processuali, che il legislatore ha voluto uguali in ogni caso, non si giustifica né rispetto alle conseguenze né rispetto alla gravità dei comportamenti valutata dal legislatore medesimo. Da ciò consegue l'incostituzionalità del secondo comma dell'art. 384 del codice penale, nella parte in cui non prevede l'esclusione della punibilità di chi avrebbe dovuto essere avvertito della facoltà di astenersi dal rendere le sommarie informazioni alla polizia giudiziaria previste dall'art. 351 del codice di procedura penale. </w:t>
      </w:r>
    </w:p>
    <w:p w:rsidR="00EE05A8" w:rsidRDefault="00EE05A8" w:rsidP="00EE05A8">
      <w:r>
        <w:t xml:space="preserve">Alla relativa declaratoria tramite una decisione che aggiunge altri casi di non punibilità a quelli già previsti, non osta il carattere della norma censurata, carattere derogatorio rispetto al normale regime della punibilità. Il legislatore, infatti, una volta riconosciuta l'esigenza di un'eccezione rispetto a una normativa più generale, non potrebbe, in mancanza di un giustificato motivo, esimersi dal realizzarne integralmente la ratio, senza per ciò stesso peccare di irrazionalità. </w:t>
      </w:r>
    </w:p>
    <w:p w:rsidR="00EE05A8" w:rsidRDefault="00EE05A8" w:rsidP="00EE05A8">
      <w:pPr>
        <w:jc w:val="center"/>
      </w:pPr>
      <w:r>
        <w:t>per questi motivi</w:t>
      </w:r>
    </w:p>
    <w:p w:rsidR="00EE05A8" w:rsidRDefault="00EE05A8" w:rsidP="00EE05A8">
      <w:pPr>
        <w:jc w:val="center"/>
      </w:pPr>
      <w:r>
        <w:t>LA CORTE COSTITUZIONALE</w:t>
      </w:r>
    </w:p>
    <w:p w:rsidR="00EE05A8" w:rsidRDefault="00EE05A8" w:rsidP="00EE05A8">
      <w:r>
        <w:t xml:space="preserve">Riuniti i giudizi, dichiara l'illegittimità costituzionale dell'art. 384, secondo comma, del codice penale, nella parte in cui non prevede l'esclusione della punibilità per false o reticenti informazioni assunte dalla polizia giudiziaria, fornite da chi avrebbe dovuto essere avvertito della facoltà di astenersi dal renderle, a norma dell'art. 199 del codice di procedura penale. </w:t>
      </w:r>
    </w:p>
    <w:p w:rsidR="00EE05A8" w:rsidRDefault="00EE05A8" w:rsidP="00EE05A8">
      <w:pPr>
        <w:jc w:val="center"/>
      </w:pPr>
      <w:r>
        <w:t>Così deciso in Roma, nella sede della Corte costituzionale, Palazzo della Consulta, il 12 dicembre 1996.</w:t>
      </w:r>
    </w:p>
    <w:p w:rsidR="00EE05A8" w:rsidRDefault="00EE05A8" w:rsidP="00EE05A8">
      <w:pPr>
        <w:jc w:val="center"/>
      </w:pPr>
      <w:r>
        <w:t>Il Presidente: Granata</w:t>
      </w:r>
    </w:p>
    <w:p w:rsidR="00EE05A8" w:rsidRDefault="00EE05A8" w:rsidP="00EE05A8">
      <w:pPr>
        <w:jc w:val="center"/>
      </w:pPr>
      <w:r>
        <w:t>Il redattore: Zagrebelsky</w:t>
      </w:r>
    </w:p>
    <w:p w:rsidR="00EE05A8" w:rsidRDefault="00EE05A8" w:rsidP="00EE05A8">
      <w:pPr>
        <w:jc w:val="center"/>
      </w:pPr>
      <w:r>
        <w:t>Il cancelliere: Di Paola</w:t>
      </w:r>
    </w:p>
    <w:p w:rsidR="00EE05A8" w:rsidRDefault="00EE05A8" w:rsidP="00EE05A8">
      <w:pPr>
        <w:jc w:val="center"/>
      </w:pPr>
      <w:r>
        <w:t>Depositata in cancelleria il 27 dicembre 1996.</w:t>
      </w:r>
    </w:p>
    <w:p w:rsidR="00EE05A8" w:rsidRDefault="00EE05A8" w:rsidP="00EE05A8">
      <w:pPr>
        <w:jc w:val="center"/>
      </w:pPr>
      <w:r>
        <w:t>Il direttore della cancelleria: Di Paola</w:t>
      </w:r>
    </w:p>
    <w:p w:rsidR="00EE05A8" w:rsidRDefault="00EE05A8"/>
    <w:p w:rsidR="00A252A2" w:rsidRDefault="00A252A2"/>
    <w:p w:rsidR="00A252A2" w:rsidRDefault="00A252A2"/>
    <w:p w:rsidR="00A252A2" w:rsidRDefault="00A252A2"/>
    <w:p w:rsidR="00A252A2" w:rsidRDefault="00A252A2"/>
    <w:p w:rsidR="00A252A2" w:rsidRDefault="00A252A2"/>
    <w:p w:rsidR="00A252A2" w:rsidRDefault="00A252A2"/>
    <w:p w:rsidR="00A252A2" w:rsidRDefault="00A252A2"/>
    <w:p w:rsidR="00A252A2" w:rsidRDefault="00A252A2"/>
    <w:p w:rsidR="00A252A2" w:rsidRPr="00A252A2" w:rsidRDefault="00A252A2" w:rsidP="00A252A2">
      <w:pPr>
        <w:spacing w:before="567" w:after="567" w:line="240" w:lineRule="auto"/>
        <w:jc w:val="center"/>
        <w:rPr>
          <w:rFonts w:ascii="Times New Roman" w:eastAsia="Times New Roman" w:hAnsi="Times New Roman" w:cs="Times New Roman"/>
          <w:caps/>
          <w:color w:val="000000"/>
          <w:sz w:val="36"/>
          <w:szCs w:val="36"/>
          <w:lang w:eastAsia="it-IT"/>
        </w:rPr>
      </w:pPr>
      <w:r w:rsidRPr="00A252A2">
        <w:rPr>
          <w:rFonts w:ascii="Times New Roman" w:eastAsia="Times New Roman" w:hAnsi="Times New Roman" w:cs="Times New Roman"/>
          <w:caps/>
          <w:color w:val="000000"/>
          <w:sz w:val="36"/>
          <w:szCs w:val="36"/>
          <w:lang w:eastAsia="it-IT"/>
        </w:rPr>
        <w:t xml:space="preserve">SENTENZA N. 75 ANNO 2009 </w:t>
      </w:r>
    </w:p>
    <w:p w:rsidR="00A252A2" w:rsidRPr="00A252A2" w:rsidRDefault="00A252A2" w:rsidP="00A252A2">
      <w:pPr>
        <w:spacing w:before="567" w:after="284" w:line="240" w:lineRule="auto"/>
        <w:jc w:val="center"/>
        <w:rPr>
          <w:rFonts w:ascii="Times New Roman" w:eastAsia="Times New Roman" w:hAnsi="Times New Roman" w:cs="Times New Roman"/>
          <w:caps/>
          <w:color w:val="000000"/>
          <w:sz w:val="24"/>
          <w:szCs w:val="24"/>
          <w:lang w:eastAsia="it-IT"/>
        </w:rPr>
      </w:pPr>
      <w:r w:rsidRPr="00A252A2">
        <w:rPr>
          <w:rFonts w:ascii="Times New Roman" w:eastAsia="Times New Roman" w:hAnsi="Times New Roman" w:cs="Times New Roman"/>
          <w:caps/>
          <w:color w:val="000000"/>
          <w:sz w:val="24"/>
          <w:szCs w:val="24"/>
          <w:lang w:eastAsia="it-IT"/>
        </w:rPr>
        <w:t xml:space="preserve">LA CORTE COSTITUZIONALE </w:t>
      </w:r>
    </w:p>
    <w:p w:rsidR="00A252A2" w:rsidRPr="00A252A2" w:rsidRDefault="00A252A2" w:rsidP="00A252A2">
      <w:pPr>
        <w:spacing w:after="0" w:line="240" w:lineRule="auto"/>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composta dai signori: Presidente: Francesco AMIRANTE; Giudici: Ugo DE SIERVO, Paolo MADDALENA, Alfio FINOCCHIARO, Franco GALLO, Luigi MAZZELLA, Gaetano SILVESTRI, Sabino CASSESE, Maria Rita SAULLE, Giuseppe TESAURO, Giuseppe FRIGO, Alessandro CRISCUOLO, Paolo GROSSI,</w:t>
      </w:r>
    </w:p>
    <w:p w:rsidR="00A252A2" w:rsidRPr="00A252A2" w:rsidRDefault="00A252A2" w:rsidP="00A252A2">
      <w:pPr>
        <w:spacing w:before="284" w:after="0" w:line="240" w:lineRule="auto"/>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ha pronunciato la seguente </w:t>
      </w:r>
    </w:p>
    <w:p w:rsidR="00A252A2" w:rsidRPr="00A252A2" w:rsidRDefault="00A252A2" w:rsidP="00A252A2">
      <w:pPr>
        <w:spacing w:after="170" w:line="240" w:lineRule="auto"/>
        <w:jc w:val="center"/>
        <w:rPr>
          <w:rFonts w:ascii="Times New Roman" w:eastAsia="Times New Roman" w:hAnsi="Times New Roman" w:cs="Times New Roman"/>
          <w:caps/>
          <w:color w:val="000000"/>
          <w:sz w:val="24"/>
          <w:szCs w:val="24"/>
          <w:lang w:eastAsia="it-IT"/>
        </w:rPr>
      </w:pPr>
      <w:r w:rsidRPr="00A252A2">
        <w:rPr>
          <w:rFonts w:ascii="Times New Roman" w:eastAsia="Times New Roman" w:hAnsi="Times New Roman" w:cs="Times New Roman"/>
          <w:caps/>
          <w:color w:val="000000"/>
          <w:sz w:val="24"/>
          <w:szCs w:val="24"/>
          <w:lang w:eastAsia="it-IT"/>
        </w:rPr>
        <w:t xml:space="preserve">SENTENZA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nel giudizio di legittimità costituzionale dell'art. 384, secondo comma, del codice penale promosso dal Tribunale di Biella nel procedimento penale a carico di M.M. con ordinanza del 7 febbraio 2007 iscritta al n. 523 del registro ordinanze 2007 e pubblicata nella </w:t>
      </w:r>
      <w:r w:rsidRPr="00A252A2">
        <w:rPr>
          <w:rFonts w:ascii="Times New Roman" w:eastAsia="Times New Roman" w:hAnsi="Times New Roman" w:cs="Times New Roman"/>
          <w:i/>
          <w:iCs/>
          <w:color w:val="000000"/>
          <w:sz w:val="24"/>
          <w:szCs w:val="24"/>
          <w:lang w:eastAsia="it-IT"/>
        </w:rPr>
        <w:t>Gazzetta Ufficiale</w:t>
      </w:r>
      <w:r w:rsidRPr="00A252A2">
        <w:rPr>
          <w:rFonts w:ascii="Times New Roman" w:eastAsia="Times New Roman" w:hAnsi="Times New Roman" w:cs="Times New Roman"/>
          <w:color w:val="000000"/>
          <w:sz w:val="24"/>
          <w:szCs w:val="24"/>
          <w:lang w:eastAsia="it-IT"/>
        </w:rPr>
        <w:t xml:space="preserve"> della Repubblica n. 28, prima serie speciale, dell'anno 2007.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i/>
          <w:iCs/>
          <w:color w:val="000000"/>
          <w:sz w:val="24"/>
          <w:szCs w:val="24"/>
          <w:lang w:eastAsia="it-IT"/>
        </w:rPr>
        <w:t xml:space="preserve">Visto </w:t>
      </w:r>
      <w:r w:rsidRPr="00A252A2">
        <w:rPr>
          <w:rFonts w:ascii="Times New Roman" w:eastAsia="Times New Roman" w:hAnsi="Times New Roman" w:cs="Times New Roman"/>
          <w:color w:val="000000"/>
          <w:sz w:val="24"/>
          <w:szCs w:val="24"/>
          <w:lang w:eastAsia="it-IT"/>
        </w:rPr>
        <w:t xml:space="preserve">l'atto di intervento del Presidente del Consiglio dei ministri;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i/>
          <w:iCs/>
          <w:color w:val="000000"/>
          <w:sz w:val="24"/>
          <w:szCs w:val="24"/>
          <w:lang w:eastAsia="it-IT"/>
        </w:rPr>
        <w:t xml:space="preserve">udito </w:t>
      </w:r>
      <w:r w:rsidRPr="00A252A2">
        <w:rPr>
          <w:rFonts w:ascii="Times New Roman" w:eastAsia="Times New Roman" w:hAnsi="Times New Roman" w:cs="Times New Roman"/>
          <w:color w:val="000000"/>
          <w:sz w:val="24"/>
          <w:szCs w:val="24"/>
          <w:lang w:eastAsia="it-IT"/>
        </w:rPr>
        <w:t xml:space="preserve">nella camera di consiglio dell'11 febbraio 2009 il Giudice relatore Alessandro </w:t>
      </w:r>
      <w:proofErr w:type="spellStart"/>
      <w:r w:rsidRPr="00A252A2">
        <w:rPr>
          <w:rFonts w:ascii="Times New Roman" w:eastAsia="Times New Roman" w:hAnsi="Times New Roman" w:cs="Times New Roman"/>
          <w:color w:val="000000"/>
          <w:sz w:val="24"/>
          <w:szCs w:val="24"/>
          <w:lang w:eastAsia="it-IT"/>
        </w:rPr>
        <w:t>Criscuolo</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rPr>
          <w:rFonts w:ascii="Arial" w:eastAsia="Times New Roman" w:hAnsi="Arial" w:cs="Arial"/>
          <w:color w:val="000000"/>
          <w:sz w:val="18"/>
          <w:szCs w:val="18"/>
          <w:lang w:eastAsia="it-IT"/>
        </w:rPr>
      </w:pPr>
      <w:r w:rsidRPr="00A252A2">
        <w:rPr>
          <w:rFonts w:ascii="Arial" w:eastAsia="Times New Roman" w:hAnsi="Arial" w:cs="Arial"/>
          <w:color w:val="000000"/>
          <w:sz w:val="18"/>
          <w:szCs w:val="18"/>
          <w:lang w:eastAsia="it-IT"/>
        </w:rPr>
        <w:br/>
      </w:r>
      <w:bookmarkStart w:id="0" w:name="fatto"/>
      <w:bookmarkEnd w:id="0"/>
    </w:p>
    <w:p w:rsidR="00A252A2" w:rsidRPr="00A252A2" w:rsidRDefault="00A252A2" w:rsidP="00A252A2">
      <w:pPr>
        <w:spacing w:before="284" w:after="284" w:line="240" w:lineRule="auto"/>
        <w:jc w:val="center"/>
        <w:rPr>
          <w:rFonts w:ascii="Times New Roman" w:eastAsia="Times New Roman" w:hAnsi="Times New Roman" w:cs="Times New Roman"/>
          <w:i/>
          <w:iCs/>
          <w:color w:val="000000"/>
          <w:sz w:val="24"/>
          <w:szCs w:val="24"/>
          <w:lang w:eastAsia="it-IT"/>
        </w:rPr>
      </w:pPr>
      <w:r w:rsidRPr="00A252A2">
        <w:rPr>
          <w:rFonts w:ascii="Times New Roman" w:eastAsia="Times New Roman" w:hAnsi="Times New Roman" w:cs="Times New Roman"/>
          <w:i/>
          <w:iCs/>
          <w:color w:val="000000"/>
          <w:sz w:val="24"/>
          <w:szCs w:val="24"/>
          <w:lang w:eastAsia="it-IT"/>
        </w:rPr>
        <w:t xml:space="preserve">Ritenuto in fatto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1.— Il Tribunale di Biella, con ordinanza in data 7 febbraio 2007, ha sollevato questione di legittimità costituzionale, in riferimento all'art. 3 della Costituzione, dell'art. 384, secondo comma, del codice penale, nella parte in cui non prevede l'esclusione della punibilità per false o reticenti informazioni assunte dalla polizia giudiziaria, fornite da chi non avrebbe potuto essere obbligato a renderle o comunque a rispondere in quanto persona indagata di reato </w:t>
      </w:r>
      <w:proofErr w:type="spellStart"/>
      <w:r w:rsidRPr="00A252A2">
        <w:rPr>
          <w:rFonts w:ascii="Times New Roman" w:eastAsia="Times New Roman" w:hAnsi="Times New Roman" w:cs="Times New Roman"/>
          <w:color w:val="000000"/>
          <w:sz w:val="24"/>
          <w:szCs w:val="24"/>
          <w:lang w:eastAsia="it-IT"/>
        </w:rPr>
        <w:t>probatoriamente</w:t>
      </w:r>
      <w:proofErr w:type="spellEnd"/>
      <w:r w:rsidRPr="00A252A2">
        <w:rPr>
          <w:rFonts w:ascii="Times New Roman" w:eastAsia="Times New Roman" w:hAnsi="Times New Roman" w:cs="Times New Roman"/>
          <w:color w:val="000000"/>
          <w:sz w:val="24"/>
          <w:szCs w:val="24"/>
          <w:lang w:eastAsia="it-IT"/>
        </w:rPr>
        <w:t xml:space="preserve"> collegato (a norma dell'art. 371, comma 2, lettera </w:t>
      </w:r>
      <w:r w:rsidRPr="00A252A2">
        <w:rPr>
          <w:rFonts w:ascii="Times New Roman" w:eastAsia="Times New Roman" w:hAnsi="Times New Roman" w:cs="Times New Roman"/>
          <w:i/>
          <w:iCs/>
          <w:color w:val="000000"/>
          <w:sz w:val="24"/>
          <w:szCs w:val="24"/>
          <w:lang w:eastAsia="it-IT"/>
        </w:rPr>
        <w:t>b</w:t>
      </w:r>
      <w:r w:rsidRPr="00A252A2">
        <w:rPr>
          <w:rFonts w:ascii="Times New Roman" w:eastAsia="Times New Roman" w:hAnsi="Times New Roman" w:cs="Times New Roman"/>
          <w:color w:val="000000"/>
          <w:sz w:val="24"/>
          <w:szCs w:val="24"/>
          <w:lang w:eastAsia="it-IT"/>
        </w:rPr>
        <w:t xml:space="preserve">, del codice di procedura penale) a quello, commesso da altri, cui le dichiarazioni stesse si riferiscono.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1.1.— Il rimettente premette di essere chiamato a decidere nel procedimento penale a carico di M. M., imputato del delitto di favoreggiamento personale (art.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«perché, assunto a sommarie informazioni dai militari del </w:t>
      </w:r>
      <w:proofErr w:type="spellStart"/>
      <w:r w:rsidRPr="00A252A2">
        <w:rPr>
          <w:rFonts w:ascii="Times New Roman" w:eastAsia="Times New Roman" w:hAnsi="Times New Roman" w:cs="Times New Roman"/>
          <w:color w:val="000000"/>
          <w:sz w:val="24"/>
          <w:szCs w:val="24"/>
          <w:lang w:eastAsia="it-IT"/>
        </w:rPr>
        <w:t>R.O.N.O.</w:t>
      </w:r>
      <w:proofErr w:type="spellEnd"/>
      <w:r w:rsidRPr="00A252A2">
        <w:rPr>
          <w:rFonts w:ascii="Times New Roman" w:eastAsia="Times New Roman" w:hAnsi="Times New Roman" w:cs="Times New Roman"/>
          <w:color w:val="000000"/>
          <w:sz w:val="24"/>
          <w:szCs w:val="24"/>
          <w:lang w:eastAsia="it-IT"/>
        </w:rPr>
        <w:t xml:space="preserve"> dei Carabinieri di Biella relativamente al possesso e all'acquisto di sostanza stupefacente di tipo hashish – in particolare, di grammi 8,490 ceduti al medesimo da M. V. in data 19 aprile 2004 in Ponderano – aiutava il medesimo ad eludere le investigazioni dell'autorità negando di conoscerlo e di essersi recato presso la sua abitazione nelle circostanze di tempo e di luogo sopra indicate».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Il detto giudice, in punto di rilevanza della questione, osserva che, in presenza della condotta contestata all'imputato, </w:t>
      </w:r>
      <w:proofErr w:type="spellStart"/>
      <w:r w:rsidRPr="00A252A2">
        <w:rPr>
          <w:rFonts w:ascii="Times New Roman" w:eastAsia="Times New Roman" w:hAnsi="Times New Roman" w:cs="Times New Roman"/>
          <w:color w:val="000000"/>
          <w:sz w:val="24"/>
          <w:szCs w:val="24"/>
          <w:lang w:eastAsia="it-IT"/>
        </w:rPr>
        <w:t>documentalmente</w:t>
      </w:r>
      <w:proofErr w:type="spellEnd"/>
      <w:r w:rsidRPr="00A252A2">
        <w:rPr>
          <w:rFonts w:ascii="Times New Roman" w:eastAsia="Times New Roman" w:hAnsi="Times New Roman" w:cs="Times New Roman"/>
          <w:color w:val="000000"/>
          <w:sz w:val="24"/>
          <w:szCs w:val="24"/>
          <w:lang w:eastAsia="it-IT"/>
        </w:rPr>
        <w:t xml:space="preserve"> riscontrata (sia dal contenuto del verbale di sommarie informazioni reso alla polizia giudiziaria il 3 settembre 2004, sia dagli ulteriori elementi probatori processualmente acquisiti), non potrebbe prospettarsi alcun dubbio in ordine all'idoneità di tale condotta ad integrare gli elementi costitutivi del reato previsto e punito dall'art.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anche alla luce della consolidata giurisprudenza della Corte di cassazione diretta ad attribuire al delitto di favoreggiamento personale una funzione “repressiva” di chiusura, cioè di norma idonea a sanzionare qualsiasi comportamento volto ad intralciare l'attività investigativa, compresa la condotta di mendacio e reticenza nei confronti della polizia giudiziaria.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Del pari pacifica e condivisibile sarebbe l'opzione interpretativa secondo cui l'ambito applicativo del reato di cui all'art.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 esteso alla condotta di mendacio alla polizia giudiziaria – avrebbe finito per imporre una nuova lettura della stessa oggettività giuridica del reato </w:t>
      </w:r>
      <w:r w:rsidRPr="00A252A2">
        <w:rPr>
          <w:rFonts w:ascii="Times New Roman" w:eastAsia="Times New Roman" w:hAnsi="Times New Roman" w:cs="Times New Roman"/>
          <w:i/>
          <w:iCs/>
          <w:color w:val="000000"/>
          <w:sz w:val="24"/>
          <w:szCs w:val="24"/>
          <w:lang w:eastAsia="it-IT"/>
        </w:rPr>
        <w:t>de quo</w:t>
      </w:r>
      <w:r w:rsidRPr="00A252A2">
        <w:rPr>
          <w:rFonts w:ascii="Times New Roman" w:eastAsia="Times New Roman" w:hAnsi="Times New Roman" w:cs="Times New Roman"/>
          <w:color w:val="000000"/>
          <w:sz w:val="24"/>
          <w:szCs w:val="24"/>
          <w:lang w:eastAsia="it-IT"/>
        </w:rPr>
        <w:t xml:space="preserve">, assegnando alla norma ora citata anche una specifica funzione di «tutela della verità e completezza delle dichiarazioni rese alla polizia giudiziaria» (ancorché pur sempre in funzione della tutela delle indagini e delle ricerche dell'autore del reato presupposto) e quindi del loro valore probatorio in senso lato, con consequenziale valorizzazione del carattere di “complementarietà” dell'art.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rispetto all'ordinario (e </w:t>
      </w:r>
      <w:proofErr w:type="spellStart"/>
      <w:r w:rsidRPr="00A252A2">
        <w:rPr>
          <w:rFonts w:ascii="Times New Roman" w:eastAsia="Times New Roman" w:hAnsi="Times New Roman" w:cs="Times New Roman"/>
          <w:color w:val="000000"/>
          <w:sz w:val="24"/>
          <w:szCs w:val="24"/>
          <w:lang w:eastAsia="it-IT"/>
        </w:rPr>
        <w:t>tipicizzato</w:t>
      </w:r>
      <w:proofErr w:type="spellEnd"/>
      <w:r w:rsidRPr="00A252A2">
        <w:rPr>
          <w:rFonts w:ascii="Times New Roman" w:eastAsia="Times New Roman" w:hAnsi="Times New Roman" w:cs="Times New Roman"/>
          <w:color w:val="000000"/>
          <w:sz w:val="24"/>
          <w:szCs w:val="24"/>
          <w:lang w:eastAsia="it-IT"/>
        </w:rPr>
        <w:t>) sistema di tutela della prova dichiarativa (formatasi dinanzi all'autorità giudiziaria), penalmente sanzionato dagli artt.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e 372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Tuttavia, ad avviso del rimettente, proprio la dimensione del favoreggiamento quale strumento di tutela del valore in senso lato probatorio delle dichiarazioni rese alla polizia giudiziaria non potrebbe non riflettersi sul problema concernente l'estraneità dell'art.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all'organico sottosistema d'istituti di diritto sostanziale eccezionalmente “strumentali” alla tutela processuale della prova dichiarativa (sono richiamate la ritrattazione, disciplinata dall'art. 376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e – per quel che rileva in questa sede – la speciale causa di esclusione della punibilità prevista dall'art.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Ricordate le oscillazioni in passato manifestatesi nella giurisprudenza di questa Corte circa l'omogeneità o la diversa obiettività del bene giuridico tutelato dagli artt. 378 e 372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il rimettente osserva che i più recenti assetti sistematici derivanti dalle integrazioni normative, sostanziali e processuali, apportate allo statuto della prova dichiarativa dalla legge 1° marzo 2001, n. 63 (Modifiche al codice penale e al codice di procedura penale in materia di formazione e valutazione della prova in attuazione della legge costituzionale di riforma dell'art. 111 Cost.), se da un lato avrebbero fornito conferma forse definitiva circa l'omogeneità – rispetto agli artt.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371-</w:t>
      </w:r>
      <w:r w:rsidRPr="00A252A2">
        <w:rPr>
          <w:rFonts w:ascii="Times New Roman" w:eastAsia="Times New Roman" w:hAnsi="Times New Roman" w:cs="Times New Roman"/>
          <w:i/>
          <w:iCs/>
          <w:color w:val="000000"/>
          <w:sz w:val="24"/>
          <w:szCs w:val="24"/>
          <w:lang w:eastAsia="it-IT"/>
        </w:rPr>
        <w:t xml:space="preserve">ter </w:t>
      </w:r>
      <w:r w:rsidRPr="00A252A2">
        <w:rPr>
          <w:rFonts w:ascii="Times New Roman" w:eastAsia="Times New Roman" w:hAnsi="Times New Roman" w:cs="Times New Roman"/>
          <w:color w:val="000000"/>
          <w:sz w:val="24"/>
          <w:szCs w:val="24"/>
          <w:lang w:eastAsia="it-IT"/>
        </w:rPr>
        <w:t xml:space="preserve">e 372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 della </w:t>
      </w:r>
      <w:proofErr w:type="spellStart"/>
      <w:r w:rsidRPr="00A252A2">
        <w:rPr>
          <w:rFonts w:ascii="Times New Roman" w:eastAsia="Times New Roman" w:hAnsi="Times New Roman" w:cs="Times New Roman"/>
          <w:i/>
          <w:iCs/>
          <w:color w:val="000000"/>
          <w:sz w:val="24"/>
          <w:szCs w:val="24"/>
          <w:lang w:eastAsia="it-IT"/>
        </w:rPr>
        <w:t>ratio</w:t>
      </w:r>
      <w:proofErr w:type="spellEnd"/>
      <w:r w:rsidRPr="00A252A2">
        <w:rPr>
          <w:rFonts w:ascii="Times New Roman" w:eastAsia="Times New Roman" w:hAnsi="Times New Roman" w:cs="Times New Roman"/>
          <w:color w:val="000000"/>
          <w:sz w:val="24"/>
          <w:szCs w:val="24"/>
          <w:lang w:eastAsia="it-IT"/>
        </w:rPr>
        <w:t xml:space="preserve"> sottesa alla punibilità del favoreggiamento mediante mendacio alla polizia giudiziaria, dall'altro avrebbero riproposto le problematiche già emerse sotto il vigore del codice di rito del 1930 (in parte risolte dagli interventi di questa Corte attuati con le sentenze n. 416 del 1996 e n. 101 del 1999) in ordine all'inapplicabilità al citato art. 378 delle norme di cui agli artt. 376 e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previste invece per gli artt.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e 372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Proprio alla causa di non punibilità di cui al citato art. 384 avrebbero fatto riferimento il pubblico ministero e il difensore dell'imputato, sia pure nel quadro di un percorso argomentativo non del tutto pertinente, in quanto incentrato sul richiamo all'autonomo regime di inutilizzabilità, </w:t>
      </w:r>
      <w:r w:rsidRPr="00A252A2">
        <w:rPr>
          <w:rFonts w:ascii="Times New Roman" w:eastAsia="Times New Roman" w:hAnsi="Times New Roman" w:cs="Times New Roman"/>
          <w:i/>
          <w:iCs/>
          <w:color w:val="000000"/>
          <w:sz w:val="24"/>
          <w:szCs w:val="24"/>
          <w:lang w:eastAsia="it-IT"/>
        </w:rPr>
        <w:t>ex</w:t>
      </w:r>
      <w:r w:rsidRPr="00A252A2">
        <w:rPr>
          <w:rFonts w:ascii="Times New Roman" w:eastAsia="Times New Roman" w:hAnsi="Times New Roman" w:cs="Times New Roman"/>
          <w:color w:val="000000"/>
          <w:sz w:val="24"/>
          <w:szCs w:val="24"/>
          <w:lang w:eastAsia="it-IT"/>
        </w:rPr>
        <w:t xml:space="preserve"> art. 63 del codice di rito penale, delle dichiarazioni non veritiere e reticenti rese dal M. alla polizia giudiziaria, oggetto materiale della contestata condotta delittuosa.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Invero, ad avviso del rimettente, tale impostazione incontrerebbe un limite fattuale e logico di fondo, perché verrebbe a confondere due distinti profili d'illiceità: da un lato quello attinente alle modalità acquisitive delle informazioni richieste al dichiarante in ordine ad un reato già commesso da diverso soggetto, dall'altro quello relativo all'idoneità di dette dichiarazioni ad integrare la consumazione del reato di favoreggiamento personale, con conseguente assunzione da tale momento </w:t>
      </w:r>
      <w:proofErr w:type="spellStart"/>
      <w:r w:rsidRPr="00A252A2">
        <w:rPr>
          <w:rFonts w:ascii="Times New Roman" w:eastAsia="Times New Roman" w:hAnsi="Times New Roman" w:cs="Times New Roman"/>
          <w:color w:val="000000"/>
          <w:sz w:val="24"/>
          <w:szCs w:val="24"/>
          <w:lang w:eastAsia="it-IT"/>
        </w:rPr>
        <w:t>consumativo</w:t>
      </w:r>
      <w:proofErr w:type="spellEnd"/>
      <w:r w:rsidRPr="00A252A2">
        <w:rPr>
          <w:rFonts w:ascii="Times New Roman" w:eastAsia="Times New Roman" w:hAnsi="Times New Roman" w:cs="Times New Roman"/>
          <w:color w:val="000000"/>
          <w:sz w:val="24"/>
          <w:szCs w:val="24"/>
          <w:lang w:eastAsia="it-IT"/>
        </w:rPr>
        <w:t xml:space="preserve"> della veste di indagato e, quindi, del diritto alle garanzie di cui al menzionato art. 63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(norma, quest'ultima, nella specie rispettata dalla polizia giudiziaria). Diversamente opinando, nel senso cioè di ritenere senz'altro inutilizzabili le dichiarazioni rese dal “semplice” cessionario di sostanza stupefacente, si finirebbe per propugnare un'interpretazione di fatto “</w:t>
      </w:r>
      <w:proofErr w:type="spellStart"/>
      <w:r w:rsidRPr="00A252A2">
        <w:rPr>
          <w:rFonts w:ascii="Times New Roman" w:eastAsia="Times New Roman" w:hAnsi="Times New Roman" w:cs="Times New Roman"/>
          <w:color w:val="000000"/>
          <w:sz w:val="24"/>
          <w:szCs w:val="24"/>
          <w:lang w:eastAsia="it-IT"/>
        </w:rPr>
        <w:t>abrogatrice</w:t>
      </w:r>
      <w:proofErr w:type="spellEnd"/>
      <w:r w:rsidRPr="00A252A2">
        <w:rPr>
          <w:rFonts w:ascii="Times New Roman" w:eastAsia="Times New Roman" w:hAnsi="Times New Roman" w:cs="Times New Roman"/>
          <w:color w:val="000000"/>
          <w:sz w:val="24"/>
          <w:szCs w:val="24"/>
          <w:lang w:eastAsia="it-IT"/>
        </w:rPr>
        <w:t xml:space="preserve">” dell'art.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nei casi di mendacio o reticenza alla polizia giudiziaria, così sconfessando in modo irragionevole il richiamato orientamento della dottrina e della giurisprudenza, che ammettono in tali casi la configurabilità del reato in questione.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1.2.— Così risolto qualsiasi dubbio sulla concreta idoneità delle mendaci dichiarazioni </w:t>
      </w:r>
      <w:r w:rsidRPr="00A252A2">
        <w:rPr>
          <w:rFonts w:ascii="Times New Roman" w:eastAsia="Times New Roman" w:hAnsi="Times New Roman" w:cs="Times New Roman"/>
          <w:i/>
          <w:iCs/>
          <w:color w:val="000000"/>
          <w:sz w:val="24"/>
          <w:szCs w:val="24"/>
          <w:lang w:eastAsia="it-IT"/>
        </w:rPr>
        <w:t xml:space="preserve">de </w:t>
      </w:r>
      <w:proofErr w:type="spellStart"/>
      <w:r w:rsidRPr="00A252A2">
        <w:rPr>
          <w:rFonts w:ascii="Times New Roman" w:eastAsia="Times New Roman" w:hAnsi="Times New Roman" w:cs="Times New Roman"/>
          <w:i/>
          <w:iCs/>
          <w:color w:val="000000"/>
          <w:sz w:val="24"/>
          <w:szCs w:val="24"/>
          <w:lang w:eastAsia="it-IT"/>
        </w:rPr>
        <w:t>quibus</w:t>
      </w:r>
      <w:proofErr w:type="spellEnd"/>
      <w:r w:rsidRPr="00A252A2">
        <w:rPr>
          <w:rFonts w:ascii="Times New Roman" w:eastAsia="Times New Roman" w:hAnsi="Times New Roman" w:cs="Times New Roman"/>
          <w:color w:val="000000"/>
          <w:sz w:val="24"/>
          <w:szCs w:val="24"/>
          <w:lang w:eastAsia="it-IT"/>
        </w:rPr>
        <w:t xml:space="preserve"> ad integrare la condotta delittuosa di favoreggiamento personale, ad avviso del rimettente emergerebbe con chiarezza l'efficacia assorbente che, nel contesto dell'ipotesi accusatoria, rivestirebbe il profilo “patologico” riconducibile alla fase genetica dell'acquisizione delle dichiarazioni medesime. Esse, nella specie, sarebbero state assunte dalla polizia giudiziaria mediante l'erronea attribuzione al M. della qualifica di persona informata su fatti concernenti la responsabilità altrui – e quindi con l'obbligo penalmente sanzionato di rispondere secondo verità (art. 198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 ignorando la qualità d'indagato di reati </w:t>
      </w:r>
      <w:proofErr w:type="spellStart"/>
      <w:r w:rsidRPr="00A252A2">
        <w:rPr>
          <w:rFonts w:ascii="Times New Roman" w:eastAsia="Times New Roman" w:hAnsi="Times New Roman" w:cs="Times New Roman"/>
          <w:color w:val="000000"/>
          <w:sz w:val="24"/>
          <w:szCs w:val="24"/>
          <w:lang w:eastAsia="it-IT"/>
        </w:rPr>
        <w:t>probatoriamente</w:t>
      </w:r>
      <w:proofErr w:type="spellEnd"/>
      <w:r w:rsidRPr="00A252A2">
        <w:rPr>
          <w:rFonts w:ascii="Times New Roman" w:eastAsia="Times New Roman" w:hAnsi="Times New Roman" w:cs="Times New Roman"/>
          <w:color w:val="000000"/>
          <w:sz w:val="24"/>
          <w:szCs w:val="24"/>
          <w:lang w:eastAsia="it-IT"/>
        </w:rPr>
        <w:t xml:space="preserve"> collegati (</w:t>
      </w:r>
      <w:r w:rsidRPr="00A252A2">
        <w:rPr>
          <w:rFonts w:ascii="Times New Roman" w:eastAsia="Times New Roman" w:hAnsi="Times New Roman" w:cs="Times New Roman"/>
          <w:i/>
          <w:iCs/>
          <w:color w:val="000000"/>
          <w:sz w:val="24"/>
          <w:szCs w:val="24"/>
          <w:lang w:eastAsia="it-IT"/>
        </w:rPr>
        <w:t xml:space="preserve">ex </w:t>
      </w:r>
      <w:r w:rsidRPr="00A252A2">
        <w:rPr>
          <w:rFonts w:ascii="Times New Roman" w:eastAsia="Times New Roman" w:hAnsi="Times New Roman" w:cs="Times New Roman"/>
          <w:color w:val="000000"/>
          <w:sz w:val="24"/>
          <w:szCs w:val="24"/>
          <w:lang w:eastAsia="it-IT"/>
        </w:rPr>
        <w:t xml:space="preserve">art. 371, comma 2, lettera </w:t>
      </w:r>
      <w:r w:rsidRPr="00A252A2">
        <w:rPr>
          <w:rFonts w:ascii="Times New Roman" w:eastAsia="Times New Roman" w:hAnsi="Times New Roman" w:cs="Times New Roman"/>
          <w:i/>
          <w:iCs/>
          <w:color w:val="000000"/>
          <w:sz w:val="24"/>
          <w:szCs w:val="24"/>
          <w:lang w:eastAsia="it-IT"/>
        </w:rPr>
        <w:t>b</w:t>
      </w:r>
      <w:r w:rsidRPr="00A252A2">
        <w:rPr>
          <w:rFonts w:ascii="Times New Roman" w:eastAsia="Times New Roman" w:hAnsi="Times New Roman" w:cs="Times New Roman"/>
          <w:color w:val="000000"/>
          <w:sz w:val="24"/>
          <w:szCs w:val="24"/>
          <w:lang w:eastAsia="it-IT"/>
        </w:rPr>
        <w:t xml:space="preserve">,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già assunta dallo stesso dichiarante ed ancora attuale al momento del rilascio delle dette dichiarazioni.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Al riguardo, sarebbe dato processuale acquisito che il M., a seguito delle operazioni di perquisizione personale e del conseguente sequestro di grammi 8,490 di sostanza stupefacente, eseguito nei suoi confronti il 19 aprile 2004 (cioè nell'immediatezza e nell'ambito dell'attività investigativa intrapresa a carico dell'altra persona, individuata quale probabile “fonte” di rifornimento dello stesso stupefacente), era stato iscritto nel registro degli indagati il successivo 22 aprile 2004 in ordine ai connessi reati di detenzione illecita di sostanza stupefacente (art. 73 del </w:t>
      </w:r>
      <w:proofErr w:type="spellStart"/>
      <w:r w:rsidRPr="00A252A2">
        <w:rPr>
          <w:rFonts w:ascii="Times New Roman" w:eastAsia="Times New Roman" w:hAnsi="Times New Roman" w:cs="Times New Roman"/>
          <w:color w:val="000000"/>
          <w:sz w:val="24"/>
          <w:szCs w:val="24"/>
          <w:lang w:eastAsia="it-IT"/>
        </w:rPr>
        <w:t>d.P.R.</w:t>
      </w:r>
      <w:proofErr w:type="spellEnd"/>
      <w:r w:rsidRPr="00A252A2">
        <w:rPr>
          <w:rFonts w:ascii="Times New Roman" w:eastAsia="Times New Roman" w:hAnsi="Times New Roman" w:cs="Times New Roman"/>
          <w:color w:val="000000"/>
          <w:sz w:val="24"/>
          <w:szCs w:val="24"/>
          <w:lang w:eastAsia="it-IT"/>
        </w:rPr>
        <w:t xml:space="preserve"> 9 ottobre 1990, n. 309, recante «Testo unico delle leggi in materia di disciplina degli stupefacenti e sostanze psicotrope, prevenzione, cura e riabilitazione dei relativi stati di tossicodipendenza») e di guida in stato di alterazione psico-fisica dovuta ad assunzione di stupefacente (art. 187, comma 8, del decreto legislativo 30 aprile 1992, n. 285, recante «Nuovo codice della strada»): iscrizione che dava origine al procedimento penale n. 607/04 </w:t>
      </w:r>
      <w:proofErr w:type="spellStart"/>
      <w:r w:rsidRPr="00A252A2">
        <w:rPr>
          <w:rFonts w:ascii="Times New Roman" w:eastAsia="Times New Roman" w:hAnsi="Times New Roman" w:cs="Times New Roman"/>
          <w:color w:val="000000"/>
          <w:sz w:val="24"/>
          <w:szCs w:val="24"/>
          <w:lang w:eastAsia="it-IT"/>
        </w:rPr>
        <w:t>r.g.n.r.</w:t>
      </w:r>
      <w:proofErr w:type="spellEnd"/>
      <w:r w:rsidRPr="00A252A2">
        <w:rPr>
          <w:rFonts w:ascii="Times New Roman" w:eastAsia="Times New Roman" w:hAnsi="Times New Roman" w:cs="Times New Roman"/>
          <w:color w:val="000000"/>
          <w:sz w:val="24"/>
          <w:szCs w:val="24"/>
          <w:lang w:eastAsia="it-IT"/>
        </w:rPr>
        <w:t xml:space="preserve"> (successivamente riunito a quello n. 723/04 </w:t>
      </w:r>
      <w:proofErr w:type="spellStart"/>
      <w:r w:rsidRPr="00A252A2">
        <w:rPr>
          <w:rFonts w:ascii="Times New Roman" w:eastAsia="Times New Roman" w:hAnsi="Times New Roman" w:cs="Times New Roman"/>
          <w:color w:val="000000"/>
          <w:sz w:val="24"/>
          <w:szCs w:val="24"/>
          <w:lang w:eastAsia="it-IT"/>
        </w:rPr>
        <w:t>r.g.n.r.</w:t>
      </w:r>
      <w:proofErr w:type="spellEnd"/>
      <w:r w:rsidRPr="00A252A2">
        <w:rPr>
          <w:rFonts w:ascii="Times New Roman" w:eastAsia="Times New Roman" w:hAnsi="Times New Roman" w:cs="Times New Roman"/>
          <w:color w:val="000000"/>
          <w:sz w:val="24"/>
          <w:szCs w:val="24"/>
          <w:lang w:eastAsia="it-IT"/>
        </w:rPr>
        <w:t xml:space="preserve">, aperto nei confronti dell'altra persona ritenuta “fonte” di rifornimento dello stupefacente), definito, per quanto riguarda il delitto di cui all'art. 73 del d. P. R. n. 309 del 1990, con decreto di archiviazione adottato dal giudice per le indagini preliminari l'11 luglio 2005 e, quanto al reato di cui all'art. 187 del codice della strada, con sentenza di applicazione della pena in data 26 ottobre 2005.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Ciò posto, il contenuto “dichiarativo” della condotta ascritta al M. e la sua qualità di indagato di reati </w:t>
      </w:r>
      <w:proofErr w:type="spellStart"/>
      <w:r w:rsidRPr="00A252A2">
        <w:rPr>
          <w:rFonts w:ascii="Times New Roman" w:eastAsia="Times New Roman" w:hAnsi="Times New Roman" w:cs="Times New Roman"/>
          <w:color w:val="000000"/>
          <w:sz w:val="24"/>
          <w:szCs w:val="24"/>
          <w:lang w:eastAsia="it-IT"/>
        </w:rPr>
        <w:t>probatoriamente</w:t>
      </w:r>
      <w:proofErr w:type="spellEnd"/>
      <w:r w:rsidRPr="00A252A2">
        <w:rPr>
          <w:rFonts w:ascii="Times New Roman" w:eastAsia="Times New Roman" w:hAnsi="Times New Roman" w:cs="Times New Roman"/>
          <w:color w:val="000000"/>
          <w:sz w:val="24"/>
          <w:szCs w:val="24"/>
          <w:lang w:eastAsia="it-IT"/>
        </w:rPr>
        <w:t xml:space="preserve"> collegati a quello ipotizzato a carico dell'altra persona (individuata quale soggetto “favorito” </w:t>
      </w:r>
      <w:r w:rsidRPr="00A252A2">
        <w:rPr>
          <w:rFonts w:ascii="Times New Roman" w:eastAsia="Times New Roman" w:hAnsi="Times New Roman" w:cs="Times New Roman"/>
          <w:i/>
          <w:iCs/>
          <w:color w:val="000000"/>
          <w:sz w:val="24"/>
          <w:szCs w:val="24"/>
          <w:lang w:eastAsia="it-IT"/>
        </w:rPr>
        <w:t xml:space="preserve">ex </w:t>
      </w:r>
      <w:r w:rsidRPr="00A252A2">
        <w:rPr>
          <w:rFonts w:ascii="Times New Roman" w:eastAsia="Times New Roman" w:hAnsi="Times New Roman" w:cs="Times New Roman"/>
          <w:color w:val="000000"/>
          <w:sz w:val="24"/>
          <w:szCs w:val="24"/>
          <w:lang w:eastAsia="it-IT"/>
        </w:rPr>
        <w:t xml:space="preserve">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dalle mendaci dichiarazioni rese dal medesimo M. alla polizia giudiziaria il 3 settembre 2004) inducono a ravvisare nell'art. 384, secondo comma, del detto codice la disposizione applicabile alla fattispecie, dovendosi escludere, sulla base delle risultanze dell'istruttoria dibattimentale, la sussistenza di elementi da cui poter desumere la configurabilità in capo all'imputato di una condizione psicologica riferibile alla «necessità di salvare sé medesimo da un grave e inevitabile pregiudizio nell'onore o nella libertà» (art. 384, primo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Sotto tale preliminare profilo sarebbe stato con efficacia posto in evidenza in dottrina come 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viva “in stretta simbiosi” con la disciplina processuale del nuovo statuto della prova dichiarativa, caratterizzato – dopo le modifiche introdotte dalla legge n. 63 del 2001 – da un sistema di tutela (artt. 197, 197-</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64, terzo comma, lettera </w:t>
      </w:r>
      <w:r w:rsidRPr="00A252A2">
        <w:rPr>
          <w:rFonts w:ascii="Times New Roman" w:eastAsia="Times New Roman" w:hAnsi="Times New Roman" w:cs="Times New Roman"/>
          <w:i/>
          <w:iCs/>
          <w:color w:val="000000"/>
          <w:sz w:val="24"/>
          <w:szCs w:val="24"/>
          <w:lang w:eastAsia="it-IT"/>
        </w:rPr>
        <w:t>c,</w:t>
      </w:r>
      <w:r w:rsidRPr="00A252A2">
        <w:rPr>
          <w:rFonts w:ascii="Times New Roman" w:eastAsia="Times New Roman" w:hAnsi="Times New Roman" w:cs="Times New Roman"/>
          <w:color w:val="000000"/>
          <w:sz w:val="24"/>
          <w:szCs w:val="24"/>
          <w:lang w:eastAsia="it-IT"/>
        </w:rPr>
        <w:t xml:space="preserve"> del codice di rito penale) della genuinità del contributo probatorio proveniente anche da figure di dichiaranti cosiddetti “testimoni assistiti”, la cui posizione processuale presenti attuali o pregressi collegamenti con il reato commesso da altri, in relazione al quale si giustifica l'acquisizione delle dichiarazioni in parola.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Da un lato, l'operatività dell'esimente di cui all'art.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dipenderebbe dal modo in cui il legislatore ha scelto di calibrare i presupposti per l'assunzione dello </w:t>
      </w:r>
      <w:r w:rsidRPr="00A252A2">
        <w:rPr>
          <w:rFonts w:ascii="Times New Roman" w:eastAsia="Times New Roman" w:hAnsi="Times New Roman" w:cs="Times New Roman"/>
          <w:i/>
          <w:iCs/>
          <w:color w:val="000000"/>
          <w:sz w:val="24"/>
          <w:szCs w:val="24"/>
          <w:lang w:eastAsia="it-IT"/>
        </w:rPr>
        <w:t>status</w:t>
      </w:r>
      <w:r w:rsidRPr="00A252A2">
        <w:rPr>
          <w:rFonts w:ascii="Times New Roman" w:eastAsia="Times New Roman" w:hAnsi="Times New Roman" w:cs="Times New Roman"/>
          <w:color w:val="000000"/>
          <w:sz w:val="24"/>
          <w:szCs w:val="24"/>
          <w:lang w:eastAsia="it-IT"/>
        </w:rPr>
        <w:t xml:space="preserve"> di testimone e i privilegi e gli obblighi ad esso relativi. Dall'altro lato, l'effettività dell'obbligo di verità imposto al teste dipenderebbe dalla disciplina sanzionatoria sostanziale che ne costituisce il presidio e, pertanto, anche dall'ambito operativo che si riconosce all'esimente.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Al riguardo andrebbe posto in evidenza come la diversa struttura normativa, ed il conseguente diverso ambito applicativo, del comma primo rispetto al comma secondo dell'art. 384 rifletta proprio la scelta di fondo del legislatore di prevedere, con la disposizione di cui al citato comma secondo, uno strumento sanzionatorio (in termini di esclusione della punibilità di specifici reati contro l'amministrazione della giustizia) dell'illegittima acquisizione di dichiarazioni provenienti da soggetti “costretti” a deporre o comunque non informati del proprio diritto a non rispondere.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highlight w:val="yellow"/>
          <w:lang w:eastAsia="it-IT"/>
        </w:rPr>
        <w:t xml:space="preserve">Sarebbe noto che l'art. 384, secondo comma,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 nella parte in cui elenca le ipotesi che, in applicazione del principio generale del </w:t>
      </w:r>
      <w:proofErr w:type="spellStart"/>
      <w:r w:rsidRPr="00A252A2">
        <w:rPr>
          <w:rFonts w:ascii="Times New Roman" w:eastAsia="Times New Roman" w:hAnsi="Times New Roman" w:cs="Times New Roman"/>
          <w:i/>
          <w:iCs/>
          <w:color w:val="000000"/>
          <w:sz w:val="24"/>
          <w:szCs w:val="24"/>
          <w:highlight w:val="yellow"/>
          <w:lang w:eastAsia="it-IT"/>
        </w:rPr>
        <w:t>nemo</w:t>
      </w:r>
      <w:proofErr w:type="spellEnd"/>
      <w:r w:rsidRPr="00A252A2">
        <w:rPr>
          <w:rFonts w:ascii="Times New Roman" w:eastAsia="Times New Roman" w:hAnsi="Times New Roman" w:cs="Times New Roman"/>
          <w:i/>
          <w:iCs/>
          <w:color w:val="000000"/>
          <w:sz w:val="24"/>
          <w:szCs w:val="24"/>
          <w:highlight w:val="yellow"/>
          <w:lang w:eastAsia="it-IT"/>
        </w:rPr>
        <w:t xml:space="preserve"> </w:t>
      </w:r>
      <w:proofErr w:type="spellStart"/>
      <w:r w:rsidRPr="00A252A2">
        <w:rPr>
          <w:rFonts w:ascii="Times New Roman" w:eastAsia="Times New Roman" w:hAnsi="Times New Roman" w:cs="Times New Roman"/>
          <w:i/>
          <w:iCs/>
          <w:color w:val="000000"/>
          <w:sz w:val="24"/>
          <w:szCs w:val="24"/>
          <w:highlight w:val="yellow"/>
          <w:lang w:eastAsia="it-IT"/>
        </w:rPr>
        <w:t>tenetur</w:t>
      </w:r>
      <w:proofErr w:type="spellEnd"/>
      <w:r w:rsidRPr="00A252A2">
        <w:rPr>
          <w:rFonts w:ascii="Times New Roman" w:eastAsia="Times New Roman" w:hAnsi="Times New Roman" w:cs="Times New Roman"/>
          <w:i/>
          <w:iCs/>
          <w:color w:val="000000"/>
          <w:sz w:val="24"/>
          <w:szCs w:val="24"/>
          <w:highlight w:val="yellow"/>
          <w:lang w:eastAsia="it-IT"/>
        </w:rPr>
        <w:t xml:space="preserve"> se </w:t>
      </w:r>
      <w:proofErr w:type="spellStart"/>
      <w:r w:rsidRPr="00A252A2">
        <w:rPr>
          <w:rFonts w:ascii="Times New Roman" w:eastAsia="Times New Roman" w:hAnsi="Times New Roman" w:cs="Times New Roman"/>
          <w:i/>
          <w:iCs/>
          <w:color w:val="000000"/>
          <w:sz w:val="24"/>
          <w:szCs w:val="24"/>
          <w:highlight w:val="yellow"/>
          <w:lang w:eastAsia="it-IT"/>
        </w:rPr>
        <w:t>detegere</w:t>
      </w:r>
      <w:proofErr w:type="spellEnd"/>
      <w:r w:rsidRPr="00A252A2">
        <w:rPr>
          <w:rFonts w:ascii="Times New Roman" w:eastAsia="Times New Roman" w:hAnsi="Times New Roman" w:cs="Times New Roman"/>
          <w:color w:val="000000"/>
          <w:sz w:val="24"/>
          <w:szCs w:val="24"/>
          <w:highlight w:val="yellow"/>
          <w:lang w:eastAsia="it-IT"/>
        </w:rPr>
        <w:t xml:space="preserve"> e delle regole tipiche di incapacità a testimoniare o comunque di esclusione dell'obbligo di deporre, escludono la punibilità della persona informata sui fatti (artt. 371-</w:t>
      </w:r>
      <w:r w:rsidRPr="00A252A2">
        <w:rPr>
          <w:rFonts w:ascii="Times New Roman" w:eastAsia="Times New Roman" w:hAnsi="Times New Roman" w:cs="Times New Roman"/>
          <w:i/>
          <w:iCs/>
          <w:color w:val="000000"/>
          <w:sz w:val="24"/>
          <w:szCs w:val="24"/>
          <w:highlight w:val="yellow"/>
          <w:lang w:eastAsia="it-IT"/>
        </w:rPr>
        <w:t>bis</w:t>
      </w:r>
      <w:r w:rsidRPr="00A252A2">
        <w:rPr>
          <w:rFonts w:ascii="Times New Roman" w:eastAsia="Times New Roman" w:hAnsi="Times New Roman" w:cs="Times New Roman"/>
          <w:color w:val="000000"/>
          <w:sz w:val="24"/>
          <w:szCs w:val="24"/>
          <w:highlight w:val="yellow"/>
          <w:lang w:eastAsia="it-IT"/>
        </w:rPr>
        <w:t xml:space="preserve"> e 371-</w:t>
      </w:r>
      <w:r w:rsidRPr="00A252A2">
        <w:rPr>
          <w:rFonts w:ascii="Times New Roman" w:eastAsia="Times New Roman" w:hAnsi="Times New Roman" w:cs="Times New Roman"/>
          <w:i/>
          <w:iCs/>
          <w:color w:val="000000"/>
          <w:sz w:val="24"/>
          <w:szCs w:val="24"/>
          <w:highlight w:val="yellow"/>
          <w:lang w:eastAsia="it-IT"/>
        </w:rPr>
        <w:t>ter</w:t>
      </w:r>
      <w:r w:rsidRPr="00A252A2">
        <w:rPr>
          <w:rFonts w:ascii="Times New Roman" w:eastAsia="Times New Roman" w:hAnsi="Times New Roman" w:cs="Times New Roman"/>
          <w:color w:val="000000"/>
          <w:sz w:val="24"/>
          <w:szCs w:val="24"/>
          <w:highlight w:val="yellow"/>
          <w:lang w:eastAsia="it-IT"/>
        </w:rPr>
        <w:t xml:space="preserve">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del teste (art. 372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del perito, del consulente tecnico o dell'interprete (art. 373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che abbiano reso false dichiarazioni, se per legge non avrebbero dovuto essere chiamati ad assumere tali qualifiche soggettive, ovvero avrebbero dovuto essere avvertiti della facoltà di astenersi dal rendere dichiarazioni – è stato interessato da una specifica “integrazione” ad opera dell'art. 21 della legge n. 63 del 2001, resasi necessaria in relazione alla speculare introduzione delle nuove figure di indagati/imputati che, in presenza di specifiche situazioni, assumono l'obbligo di rendere testimonianza o informazioni.</w:t>
      </w:r>
      <w:r w:rsidRPr="00A252A2">
        <w:rPr>
          <w:rFonts w:ascii="Times New Roman" w:eastAsia="Times New Roman" w:hAnsi="Times New Roman" w:cs="Times New Roman"/>
          <w:color w:val="000000"/>
          <w:sz w:val="24"/>
          <w:szCs w:val="24"/>
          <w:lang w:eastAsia="it-IT"/>
        </w:rPr>
        <w:t xml:space="preserve"> In particolare la “nuova” causa di estensione della causa di non punibilità è riferita al soggetto che «non avrebbe potuto essere obbligato a deporre o comunque a rispondere» e cioè al fatto di avere chiamato ad assumere l'ufficio di testimone una persona che, invece, avrebbe dovuto essere sentita come indagato o imputato, ricorrendo le incompatibilità stabilite dall'art. 197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ovvero in assenza delle situazioni descritte dall'art. 197-</w:t>
      </w:r>
      <w:r w:rsidRPr="00A252A2">
        <w:rPr>
          <w:rFonts w:ascii="Times New Roman" w:eastAsia="Times New Roman" w:hAnsi="Times New Roman" w:cs="Times New Roman"/>
          <w:i/>
          <w:iCs/>
          <w:color w:val="000000"/>
          <w:sz w:val="24"/>
          <w:szCs w:val="24"/>
          <w:lang w:eastAsia="it-IT"/>
        </w:rPr>
        <w:t xml:space="preserve">bis </w:t>
      </w:r>
      <w:r w:rsidRPr="00A252A2">
        <w:rPr>
          <w:rFonts w:ascii="Times New Roman" w:eastAsia="Times New Roman" w:hAnsi="Times New Roman" w:cs="Times New Roman"/>
          <w:color w:val="000000"/>
          <w:sz w:val="24"/>
          <w:szCs w:val="24"/>
          <w:lang w:eastAsia="it-IT"/>
        </w:rPr>
        <w:t xml:space="preserve">del detto codice, ovvero per avere comunque obbligato una persona a deporre su fatti concernenti anche la sua responsabilità in ordine al reato per cui si procede o si è proceduto nei suoi confronti e che pertanto non avrebbe potuto essere obbligata a rispondere.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In tale novellato contesto normativo la stessa volontà del legislatore di “anticipare” all'assunzione di informazioni in fase d'indagini preliminari le regole in tema d'incompatibilità a testimoniare – come sarebbe dato evincere dalla serie di rinvii agli artt. 197, 197</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198, 199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operati dall'art. 362 dello stesso codice (quanto alle informazioni assunte dal pubblico ministero), nonché, attraverso il citato art. 362, dall'art. 351, primo comma, seconda proposizione (quanto alle informazioni assunte dalla polizia giudiziaria) – risulterebbe del tutto chiara, nel senso di escludere la possibilità di “scelte strategiche” di acquisizione di contributi dichiarativi in modo improprio da qualunque dichiarante: rilievo, quest'ultimo, che non contraddice ma anzi conferma gli itinerari della giurisprudenza (della Corte di cassazione e della Corte costituzionale) diretti a trovare una sostanziale identità tra le ragioni di tutela del valore probatorio delle dichiarazioni rese alla polizia giudiziaria, realizzate attraverso 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e quelle sottese all'art.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del medesimo codice riferite alle dichiarazioni rese al pubblico ministero: entrambe le norme, infatti, tutelerebbero un'attività d'indagine simile e per di più soggetta per più profili alla medesima disciplina, con particolare riferimento alle forme di documentazione, all'utilizzabilità anche nella successiva fase processuale e agli obblighi dei dichiaranti.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Alla sostanziale convergenza di disciplina processuale, caratterizzante nell'attuale sistema del codice di rito il valore probatorio delle informazioni assunte dalla polizia giudiziaria rispetto a quelle rese davanti al pubblico ministero, non corrisponderebbe – nella tassativa struttura normativa dell'art.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(rimasta immutata </w:t>
      </w:r>
      <w:r w:rsidRPr="00A252A2">
        <w:rPr>
          <w:rFonts w:ascii="Times New Roman" w:eastAsia="Times New Roman" w:hAnsi="Times New Roman" w:cs="Times New Roman"/>
          <w:i/>
          <w:iCs/>
          <w:color w:val="000000"/>
          <w:sz w:val="24"/>
          <w:szCs w:val="24"/>
          <w:lang w:eastAsia="it-IT"/>
        </w:rPr>
        <w:t>in parte qua</w:t>
      </w:r>
      <w:r w:rsidRPr="00A252A2">
        <w:rPr>
          <w:rFonts w:ascii="Times New Roman" w:eastAsia="Times New Roman" w:hAnsi="Times New Roman" w:cs="Times New Roman"/>
          <w:color w:val="000000"/>
          <w:sz w:val="24"/>
          <w:szCs w:val="24"/>
          <w:lang w:eastAsia="it-IT"/>
        </w:rPr>
        <w:t xml:space="preserve"> a seguito della novella del 2001) – una omogeneità di trattamento delle corrispondenti condotte di mendacio e/o reticenza, qualora le stesse siano riconducibili alle ipotesi di reato previste, rispettivamente, dall'art.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e dall'art.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non essendo applicabile per il mancato richiamo di quest'ultima norma (ancorché limitato alla condotta di false o reticenti informazioni assunte dalla polizia giudiziaria) la speciale causa di non punibilità, nelle ipotesi di assunzione d'informazioni ad opera della polizia giudiziaria in assenza dei presupposti per configurare in capo al dichiarante un “obbligo” di deporre </w:t>
      </w:r>
      <w:r w:rsidRPr="00A252A2">
        <w:rPr>
          <w:rFonts w:ascii="Times New Roman" w:eastAsia="Times New Roman" w:hAnsi="Times New Roman" w:cs="Times New Roman"/>
          <w:i/>
          <w:iCs/>
          <w:color w:val="000000"/>
          <w:sz w:val="24"/>
          <w:szCs w:val="24"/>
          <w:lang w:eastAsia="it-IT"/>
        </w:rPr>
        <w:t xml:space="preserve">erga </w:t>
      </w:r>
      <w:proofErr w:type="spellStart"/>
      <w:r w:rsidRPr="00A252A2">
        <w:rPr>
          <w:rFonts w:ascii="Times New Roman" w:eastAsia="Times New Roman" w:hAnsi="Times New Roman" w:cs="Times New Roman"/>
          <w:i/>
          <w:iCs/>
          <w:color w:val="000000"/>
          <w:sz w:val="24"/>
          <w:szCs w:val="24"/>
          <w:lang w:eastAsia="it-IT"/>
        </w:rPr>
        <w:t>alios</w:t>
      </w:r>
      <w:proofErr w:type="spellEnd"/>
      <w:r w:rsidRPr="00A252A2">
        <w:rPr>
          <w:rFonts w:ascii="Times New Roman" w:eastAsia="Times New Roman" w:hAnsi="Times New Roman" w:cs="Times New Roman"/>
          <w:color w:val="000000"/>
          <w:sz w:val="24"/>
          <w:szCs w:val="24"/>
          <w:lang w:eastAsia="it-IT"/>
        </w:rPr>
        <w:t xml:space="preserve">: disomogeneità di trattamento la cui intrinseca irragionevolezza (art. 3 Cost.) non apparirebbe manifestamente infondata alla stregua del medesimo percorso argomentativo già posto a sostegno dell'autonomo profilo di illegittimità costituzionale dell'art.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nella parte in cui non prevedeva l'esclusione della punibilità per false o reticenti informazioni assunte dalla polizia giudiziaria, fornite da chi avrebbe dovuto essere avvertito della facoltà di astenersi dal renderle a norma dell'art. 199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(sentenza n. 416 del 1996). Essa sarebbe sanabile soltanto attraverso un ulteriore intervento di carattere “additivo” da parte di questa Corte, dopo il riscontro appunto dell'irragionevolezza di scelte legislative in una materia (estensione delle cause di non punibilità, comportante un giudizio di bilanciamento tra l'interesse tutelato da norme incriminatici accomunate dalla </w:t>
      </w:r>
      <w:proofErr w:type="spellStart"/>
      <w:r w:rsidRPr="00A252A2">
        <w:rPr>
          <w:rFonts w:ascii="Times New Roman" w:eastAsia="Times New Roman" w:hAnsi="Times New Roman" w:cs="Times New Roman"/>
          <w:i/>
          <w:iCs/>
          <w:color w:val="000000"/>
          <w:sz w:val="24"/>
          <w:szCs w:val="24"/>
          <w:lang w:eastAsia="it-IT"/>
        </w:rPr>
        <w:t>ratio</w:t>
      </w:r>
      <w:proofErr w:type="spellEnd"/>
      <w:r w:rsidRPr="00A252A2">
        <w:rPr>
          <w:rFonts w:ascii="Times New Roman" w:eastAsia="Times New Roman" w:hAnsi="Times New Roman" w:cs="Times New Roman"/>
          <w:color w:val="000000"/>
          <w:sz w:val="24"/>
          <w:szCs w:val="24"/>
          <w:lang w:eastAsia="it-IT"/>
        </w:rPr>
        <w:t xml:space="preserve"> ispiratrice e disciplina processuale: nella specie, artt.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e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e le esigenze che invece sorreggono le correlative disposizioni derogatorie (art.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Il Presidente del Consiglio dei ministri, rappresentato e difeso dall'Avvocatura generale dello Stato, con atto in data 4 agosto 2007 ha spiegato intervento nel giudizio di legittimità costituzionale per sentir dichiarare la manifesta infondatezza della questione sollevata.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La parte privata non ha svolto in questa sede attività difensiva. </w:t>
      </w:r>
    </w:p>
    <w:p w:rsidR="00A252A2" w:rsidRPr="00A252A2" w:rsidRDefault="00A252A2" w:rsidP="00A252A2">
      <w:pPr>
        <w:spacing w:after="0" w:line="240" w:lineRule="auto"/>
        <w:rPr>
          <w:rFonts w:ascii="Arial" w:eastAsia="Times New Roman" w:hAnsi="Arial" w:cs="Arial"/>
          <w:color w:val="000000"/>
          <w:sz w:val="18"/>
          <w:szCs w:val="18"/>
          <w:lang w:eastAsia="it-IT"/>
        </w:rPr>
      </w:pPr>
      <w:r w:rsidRPr="00A252A2">
        <w:rPr>
          <w:rFonts w:ascii="Arial" w:eastAsia="Times New Roman" w:hAnsi="Arial" w:cs="Arial"/>
          <w:color w:val="000000"/>
          <w:sz w:val="18"/>
          <w:szCs w:val="18"/>
          <w:lang w:eastAsia="it-IT"/>
        </w:rPr>
        <w:br/>
      </w:r>
      <w:bookmarkStart w:id="1" w:name="diritto"/>
      <w:bookmarkEnd w:id="1"/>
    </w:p>
    <w:p w:rsidR="00A252A2" w:rsidRPr="00A252A2" w:rsidRDefault="00A252A2" w:rsidP="00A252A2">
      <w:pPr>
        <w:spacing w:before="284" w:after="284" w:line="240" w:lineRule="auto"/>
        <w:jc w:val="center"/>
        <w:rPr>
          <w:rFonts w:ascii="Times New Roman" w:eastAsia="Times New Roman" w:hAnsi="Times New Roman" w:cs="Times New Roman"/>
          <w:i/>
          <w:iCs/>
          <w:color w:val="000000"/>
          <w:sz w:val="24"/>
          <w:szCs w:val="24"/>
          <w:lang w:eastAsia="it-IT"/>
        </w:rPr>
      </w:pPr>
      <w:r w:rsidRPr="00A252A2">
        <w:rPr>
          <w:rFonts w:ascii="Times New Roman" w:eastAsia="Times New Roman" w:hAnsi="Times New Roman" w:cs="Times New Roman"/>
          <w:i/>
          <w:iCs/>
          <w:color w:val="000000"/>
          <w:sz w:val="24"/>
          <w:szCs w:val="24"/>
          <w:lang w:eastAsia="it-IT"/>
        </w:rPr>
        <w:t xml:space="preserve">Considerato in diritto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1.— Il Tribunale di Biella dubita della legittimità costituzionale dell'art. 384, secondo comma, del codice penale, in riferimento all'art. 3 della Costituzione, nella parte in cui la detta norma non prevede l'esclusione della punibilità per false o reticenti informazioni assunte dalla polizia giudiziaria e fornite da chi non avrebbe potuto essere obbligato a renderle o comunque a rispondere, in quanto persona indagata per reato </w:t>
      </w:r>
      <w:proofErr w:type="spellStart"/>
      <w:r w:rsidRPr="00A252A2">
        <w:rPr>
          <w:rFonts w:ascii="Times New Roman" w:eastAsia="Times New Roman" w:hAnsi="Times New Roman" w:cs="Times New Roman"/>
          <w:color w:val="000000"/>
          <w:sz w:val="24"/>
          <w:szCs w:val="24"/>
          <w:lang w:eastAsia="it-IT"/>
        </w:rPr>
        <w:t>probatoriamente</w:t>
      </w:r>
      <w:proofErr w:type="spellEnd"/>
      <w:r w:rsidRPr="00A252A2">
        <w:rPr>
          <w:rFonts w:ascii="Times New Roman" w:eastAsia="Times New Roman" w:hAnsi="Times New Roman" w:cs="Times New Roman"/>
          <w:color w:val="000000"/>
          <w:sz w:val="24"/>
          <w:szCs w:val="24"/>
          <w:lang w:eastAsia="it-IT"/>
        </w:rPr>
        <w:t xml:space="preserve"> collegato, ai sensi dell'art. 371, comma 2, lettera </w:t>
      </w:r>
      <w:r w:rsidRPr="00A252A2">
        <w:rPr>
          <w:rFonts w:ascii="Times New Roman" w:eastAsia="Times New Roman" w:hAnsi="Times New Roman" w:cs="Times New Roman"/>
          <w:i/>
          <w:iCs/>
          <w:color w:val="000000"/>
          <w:sz w:val="24"/>
          <w:szCs w:val="24"/>
          <w:lang w:eastAsia="it-IT"/>
        </w:rPr>
        <w:t>b),</w:t>
      </w:r>
      <w:r w:rsidRPr="00A252A2">
        <w:rPr>
          <w:rFonts w:ascii="Times New Roman" w:eastAsia="Times New Roman" w:hAnsi="Times New Roman" w:cs="Times New Roman"/>
          <w:color w:val="000000"/>
          <w:sz w:val="24"/>
          <w:szCs w:val="24"/>
          <w:lang w:eastAsia="it-IT"/>
        </w:rPr>
        <w:t xml:space="preserve"> del codice di procedura penale, con quello commesso da altri cui le dichiarazioni stesse si riferiscono.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1.1. – Il rimettente premette di essere chiamato a decidere nel procedimento penale a carico di M. M., imputato del delitto di favoreggiamento personale (art.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«perché, assunto a sommarie informazioni dai militari del </w:t>
      </w:r>
      <w:proofErr w:type="spellStart"/>
      <w:r w:rsidRPr="00A252A2">
        <w:rPr>
          <w:rFonts w:ascii="Times New Roman" w:eastAsia="Times New Roman" w:hAnsi="Times New Roman" w:cs="Times New Roman"/>
          <w:color w:val="000000"/>
          <w:sz w:val="24"/>
          <w:szCs w:val="24"/>
          <w:lang w:eastAsia="it-IT"/>
        </w:rPr>
        <w:t>R.O.N.O.</w:t>
      </w:r>
      <w:proofErr w:type="spellEnd"/>
      <w:r w:rsidRPr="00A252A2">
        <w:rPr>
          <w:rFonts w:ascii="Times New Roman" w:eastAsia="Times New Roman" w:hAnsi="Times New Roman" w:cs="Times New Roman"/>
          <w:color w:val="000000"/>
          <w:sz w:val="24"/>
          <w:szCs w:val="24"/>
          <w:lang w:eastAsia="it-IT"/>
        </w:rPr>
        <w:t xml:space="preserve"> dei Carabinieri di Biella relativamente al possesso e all'acquisto di sostanza stupefacente di tipo hashish – in particolare di grammi 8,490 ceduti al medesimo da M. V. in data 19 aprile 2004 in Ponderano – aiutava il medesimo ad eludere le investigazioni dell'autorità negando di conoscerlo e di essersi recato presso la sua abitazione nelle circostanze di tempo e di luogo sopra indicate».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Osserva poi, in punto di rilevanza della questione, che tale condotta, nel caso in esame </w:t>
      </w:r>
      <w:proofErr w:type="spellStart"/>
      <w:r w:rsidRPr="00A252A2">
        <w:rPr>
          <w:rFonts w:ascii="Times New Roman" w:eastAsia="Times New Roman" w:hAnsi="Times New Roman" w:cs="Times New Roman"/>
          <w:color w:val="000000"/>
          <w:sz w:val="24"/>
          <w:szCs w:val="24"/>
          <w:lang w:eastAsia="it-IT"/>
        </w:rPr>
        <w:t>documentalmente</w:t>
      </w:r>
      <w:proofErr w:type="spellEnd"/>
      <w:r w:rsidRPr="00A252A2">
        <w:rPr>
          <w:rFonts w:ascii="Times New Roman" w:eastAsia="Times New Roman" w:hAnsi="Times New Roman" w:cs="Times New Roman"/>
          <w:color w:val="000000"/>
          <w:sz w:val="24"/>
          <w:szCs w:val="24"/>
          <w:lang w:eastAsia="it-IT"/>
        </w:rPr>
        <w:t xml:space="preserve"> riscontrata, sarebbe senza dubbio idonea ad integrare gli estremi del delitto di cui all'art.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richiamando il consolidato orientamento della giurisprudenza (diritto vivente) che attribuisce a tale norma una funzione “repressiva” di chiusura, in quanto volta a sanzionare qualsiasi comportamento diretto ad intralciare l'attività investigativa, compresa quindi la condotta di mendacio e reticenza alla polizia giudiziaria. Del pari pacifica sarebbe l'opzione interpretativa che dal delineato ambito applicativo dell'art. 378 (esteso cioè al mendacio alla polizia giudiziaria) desume l'assegnazione alla norma anche di una funzione di tutela della verità e completezza delle dichiarazioni rese alla medesima polizia giudiziaria, con attribuzione ad esse di valore probatorio in senso lato (non trattandosi di dichiarazioni assunte in contraddittorio delle parti) e con conseguente rilievo del carattere complementare del detto 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rispetto all'ordinario sistema di tutela della prova dichiarativa formatasi davanti all'autorità giudiziaria, sanzionato dagli artt. 371-</w:t>
      </w:r>
      <w:r w:rsidRPr="00A252A2">
        <w:rPr>
          <w:rFonts w:ascii="Times New Roman" w:eastAsia="Times New Roman" w:hAnsi="Times New Roman" w:cs="Times New Roman"/>
          <w:i/>
          <w:iCs/>
          <w:color w:val="000000"/>
          <w:sz w:val="24"/>
          <w:szCs w:val="24"/>
          <w:lang w:eastAsia="it-IT"/>
        </w:rPr>
        <w:t xml:space="preserve">bis </w:t>
      </w:r>
      <w:r w:rsidRPr="00A252A2">
        <w:rPr>
          <w:rFonts w:ascii="Times New Roman" w:eastAsia="Times New Roman" w:hAnsi="Times New Roman" w:cs="Times New Roman"/>
          <w:color w:val="000000"/>
          <w:sz w:val="24"/>
          <w:szCs w:val="24"/>
          <w:lang w:eastAsia="it-IT"/>
        </w:rPr>
        <w:t xml:space="preserve">e 372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In questo quadro, ed avuto riguardo anche alle innovazioni apportate allo statuto della prova dichiarativa dalle disposizioni introdotte con la legge 1° marzo 2001, n. 63 (Modifiche al codice penale e al codice di procedura penale in materia di formazione e valutazione della prova in attuazione della legge costituzionale di riforma dell'art. 111 della Costituzione), andrebbero riesaminati i problemi, già emersi sotto il vigore del precedente codice di rito, relativi (tra l'altro) alla non applicabilità all'art. 378 del codice penale della norma di cui all'art. 384, secondo comma, di detto codice, prevista invece per gli artt.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e 372 dello stesso. Di qui la rilevanza della questione, nei termini prospettati dal rimettente.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2.— Ciò posto il giudice </w:t>
      </w:r>
      <w:r w:rsidRPr="00A252A2">
        <w:rPr>
          <w:rFonts w:ascii="Times New Roman" w:eastAsia="Times New Roman" w:hAnsi="Times New Roman" w:cs="Times New Roman"/>
          <w:i/>
          <w:iCs/>
          <w:color w:val="000000"/>
          <w:sz w:val="24"/>
          <w:szCs w:val="24"/>
          <w:lang w:eastAsia="it-IT"/>
        </w:rPr>
        <w:t>a quo</w:t>
      </w:r>
      <w:r w:rsidRPr="00A252A2">
        <w:rPr>
          <w:rFonts w:ascii="Times New Roman" w:eastAsia="Times New Roman" w:hAnsi="Times New Roman" w:cs="Times New Roman"/>
          <w:color w:val="000000"/>
          <w:sz w:val="24"/>
          <w:szCs w:val="24"/>
          <w:lang w:eastAsia="it-IT"/>
        </w:rPr>
        <w:t xml:space="preserve"> – dopo aver rimarcato la sostanziale convergenza di disciplina processuale caratterizzante, nell'attuale sistema del codice di rito, il valore probatorio delle informazioni assunte dalla polizia giudiziaria rispetto alle dichiarazioni rese davanti al pubblico ministero – osserva che a tale convergenza non corrisponde, nella tassativa struttura normativa dell'art.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una omogeneità di trattamento delle corrispondenti condotte di mendacio o reticenza, rispettivamente previste dall'art. 371-</w:t>
      </w:r>
      <w:r w:rsidRPr="00A252A2">
        <w:rPr>
          <w:rFonts w:ascii="Times New Roman" w:eastAsia="Times New Roman" w:hAnsi="Times New Roman" w:cs="Times New Roman"/>
          <w:i/>
          <w:iCs/>
          <w:color w:val="000000"/>
          <w:sz w:val="24"/>
          <w:szCs w:val="24"/>
          <w:lang w:eastAsia="it-IT"/>
        </w:rPr>
        <w:t xml:space="preserve">bis </w:t>
      </w:r>
      <w:r w:rsidRPr="00A252A2">
        <w:rPr>
          <w:rFonts w:ascii="Times New Roman" w:eastAsia="Times New Roman" w:hAnsi="Times New Roman" w:cs="Times New Roman"/>
          <w:color w:val="000000"/>
          <w:sz w:val="24"/>
          <w:szCs w:val="24"/>
          <w:lang w:eastAsia="it-IT"/>
        </w:rPr>
        <w:t xml:space="preserve">e dall'art. 378 di detto codice, essendo infatti non applicabile, stante il mancato richiamo di quest'ultima norma (ancorché limitato alla condotta di false o reticenti informazioni assunte dalla polizia giudiziaria), la speciale causa di non punibilità nelle ipotesi di assunzione d'informazioni ad opera della stessa polizia giudiziaria in assenza dei presupposti per configurare a carico del dichiarante un obbligo di deporre. A suo avviso tale trattamento non omogeneo sarebbe irragionevole, ponendosi quindi in contrasto con l'art. 3 Cost.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3.— La questione è fondata nei sensi in prosieguo indicati.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3.1.— 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stabilisce che «Nei casi previsti dagli articoli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371-</w:t>
      </w:r>
      <w:r w:rsidRPr="00A252A2">
        <w:rPr>
          <w:rFonts w:ascii="Times New Roman" w:eastAsia="Times New Roman" w:hAnsi="Times New Roman" w:cs="Times New Roman"/>
          <w:i/>
          <w:iCs/>
          <w:color w:val="000000"/>
          <w:sz w:val="24"/>
          <w:szCs w:val="24"/>
          <w:lang w:eastAsia="it-IT"/>
        </w:rPr>
        <w:t xml:space="preserve">ter, </w:t>
      </w:r>
      <w:r w:rsidRPr="00A252A2">
        <w:rPr>
          <w:rFonts w:ascii="Times New Roman" w:eastAsia="Times New Roman" w:hAnsi="Times New Roman" w:cs="Times New Roman"/>
          <w:color w:val="000000"/>
          <w:sz w:val="24"/>
          <w:szCs w:val="24"/>
          <w:lang w:eastAsia="it-IT"/>
        </w:rPr>
        <w:t xml:space="preserve">372 e 373, la punibilità è esclusa se il fatto è commesso da chi per legge non avrebbe dovuto essere richiesto di fornire informazioni ai fini delle indagini o assunto come testimonio, perito, consulente tecnico o interprete ovvero non avrebbe potuto essere obbligato a deporre o comunque a rispondere o avrebbe dovuto essere avvertito della facoltà di astenersi dal rendere informazioni, testimonianza, perizia, consulenza o interpretazione». La norma contempla ipotesi in cui (per quanto qui rileva) le informazioni o la testimonianza sono state assunte in modo non legittimo, perché l'autorità procedente non avrebbe potuto richiederle a ciò ostando un divieto di legge, oppure perché il soggetto non avrebbe potuto essere obbligato a rispondere oppure a deporre o avrebbe dovuto essere avvertito della facoltà di astenersi. Come l'ordinanza di rimessione pone in luce con motivazione non </w:t>
      </w:r>
      <w:proofErr w:type="spellStart"/>
      <w:r w:rsidRPr="00A252A2">
        <w:rPr>
          <w:rFonts w:ascii="Times New Roman" w:eastAsia="Times New Roman" w:hAnsi="Times New Roman" w:cs="Times New Roman"/>
          <w:color w:val="000000"/>
          <w:sz w:val="24"/>
          <w:szCs w:val="24"/>
          <w:lang w:eastAsia="it-IT"/>
        </w:rPr>
        <w:t>implausibile</w:t>
      </w:r>
      <w:proofErr w:type="spellEnd"/>
      <w:r w:rsidRPr="00A252A2">
        <w:rPr>
          <w:rFonts w:ascii="Times New Roman" w:eastAsia="Times New Roman" w:hAnsi="Times New Roman" w:cs="Times New Roman"/>
          <w:color w:val="000000"/>
          <w:sz w:val="24"/>
          <w:szCs w:val="24"/>
          <w:lang w:eastAsia="it-IT"/>
        </w:rPr>
        <w:t xml:space="preserve">, è questa la norma che viene in rilievo nel caso in esame, perché la persona chiamata a rispondere del delitto di favoreggiamento personale nei termini sopra indicati, quando fu richiesta di fornire informazioni alla polizia giudiziaria, era stata già iscritta nel registro degli indagati per reati </w:t>
      </w:r>
      <w:proofErr w:type="spellStart"/>
      <w:r w:rsidRPr="00A252A2">
        <w:rPr>
          <w:rFonts w:ascii="Times New Roman" w:eastAsia="Times New Roman" w:hAnsi="Times New Roman" w:cs="Times New Roman"/>
          <w:color w:val="000000"/>
          <w:sz w:val="24"/>
          <w:szCs w:val="24"/>
          <w:lang w:eastAsia="it-IT"/>
        </w:rPr>
        <w:t>probatoriamente</w:t>
      </w:r>
      <w:proofErr w:type="spellEnd"/>
      <w:r w:rsidRPr="00A252A2">
        <w:rPr>
          <w:rFonts w:ascii="Times New Roman" w:eastAsia="Times New Roman" w:hAnsi="Times New Roman" w:cs="Times New Roman"/>
          <w:color w:val="000000"/>
          <w:sz w:val="24"/>
          <w:szCs w:val="24"/>
          <w:lang w:eastAsia="it-IT"/>
        </w:rPr>
        <w:t xml:space="preserve"> collegati (</w:t>
      </w:r>
      <w:r w:rsidRPr="00A252A2">
        <w:rPr>
          <w:rFonts w:ascii="Times New Roman" w:eastAsia="Times New Roman" w:hAnsi="Times New Roman" w:cs="Times New Roman"/>
          <w:i/>
          <w:iCs/>
          <w:color w:val="000000"/>
          <w:sz w:val="24"/>
          <w:szCs w:val="24"/>
          <w:lang w:eastAsia="it-IT"/>
        </w:rPr>
        <w:t xml:space="preserve">ex </w:t>
      </w:r>
      <w:r w:rsidRPr="00A252A2">
        <w:rPr>
          <w:rFonts w:ascii="Times New Roman" w:eastAsia="Times New Roman" w:hAnsi="Times New Roman" w:cs="Times New Roman"/>
          <w:color w:val="000000"/>
          <w:sz w:val="24"/>
          <w:szCs w:val="24"/>
          <w:lang w:eastAsia="it-IT"/>
        </w:rPr>
        <w:t xml:space="preserve">art. 371, comma 2, lettera </w:t>
      </w:r>
      <w:r w:rsidRPr="00A252A2">
        <w:rPr>
          <w:rFonts w:ascii="Times New Roman" w:eastAsia="Times New Roman" w:hAnsi="Times New Roman" w:cs="Times New Roman"/>
          <w:i/>
          <w:iCs/>
          <w:color w:val="000000"/>
          <w:sz w:val="24"/>
          <w:szCs w:val="24"/>
          <w:lang w:eastAsia="it-IT"/>
        </w:rPr>
        <w:t>b</w:t>
      </w:r>
      <w:r w:rsidRPr="00A252A2">
        <w:rPr>
          <w:rFonts w:ascii="Times New Roman" w:eastAsia="Times New Roman" w:hAnsi="Times New Roman" w:cs="Times New Roman"/>
          <w:color w:val="000000"/>
          <w:sz w:val="24"/>
          <w:szCs w:val="24"/>
          <w:lang w:eastAsia="it-IT"/>
        </w:rPr>
        <w:t xml:space="preserve">,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a quello ascritto al soggetto individuato quale possibile “fonte” di rifornimento della sostanza stupefacente.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4.— </w:t>
      </w:r>
      <w:r w:rsidRPr="00A252A2">
        <w:rPr>
          <w:rFonts w:ascii="Times New Roman" w:eastAsia="Times New Roman" w:hAnsi="Times New Roman" w:cs="Times New Roman"/>
          <w:color w:val="000000"/>
          <w:sz w:val="24"/>
          <w:szCs w:val="24"/>
          <w:highlight w:val="yellow"/>
          <w:lang w:eastAsia="it-IT"/>
        </w:rPr>
        <w:t xml:space="preserve">Il citato art. 384, secondo comma,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indica dunque tra le ipotesi criminose alle quali, ricorrendo le situazioni previste, la causa di non punibilità si applica, anche l'art. 372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(falsa testimonianza) e l'art. 371-</w:t>
      </w:r>
      <w:r w:rsidRPr="00A252A2">
        <w:rPr>
          <w:rFonts w:ascii="Times New Roman" w:eastAsia="Times New Roman" w:hAnsi="Times New Roman" w:cs="Times New Roman"/>
          <w:i/>
          <w:iCs/>
          <w:color w:val="000000"/>
          <w:sz w:val="24"/>
          <w:szCs w:val="24"/>
          <w:highlight w:val="yellow"/>
          <w:lang w:eastAsia="it-IT"/>
        </w:rPr>
        <w:t xml:space="preserve">bis </w:t>
      </w:r>
      <w:r w:rsidRPr="00A252A2">
        <w:rPr>
          <w:rFonts w:ascii="Times New Roman" w:eastAsia="Times New Roman" w:hAnsi="Times New Roman" w:cs="Times New Roman"/>
          <w:color w:val="000000"/>
          <w:sz w:val="24"/>
          <w:szCs w:val="24"/>
          <w:highlight w:val="yellow"/>
          <w:lang w:eastAsia="it-IT"/>
        </w:rPr>
        <w:t xml:space="preserve">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(false informazioni al pubblico ministero). Quest'ultimo - aggiunto dall'art. 11, comma 1, del decreto-legge 8 giugno 1992, n. 306 (Modifiche urgenti al nuovo codice di procedura penale e provvedimenti di contrasto alla criminalità mafiosa) convertito, con modificazioni, dalla legge 7 agosto 1992, n. 356 – stabilisce che «Chiunque, nel corso di un procedimento penale, richiesto dal pubblico ministero di fornire informazioni ai fini delle indagini, rende dichiarazioni false ovvero tace, in tutto o in parte, ciò che sa intorno ai fatti sui quali viene sentito è punito con la reclusione fino a quattro anni» (comma 1).</w:t>
      </w:r>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La norma sostanziale ora richiamata si collega all'art. 362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che, sotto la rubrica “assunzione d'informazioni”, dispone che «Il pubblico ministero assume informazioni dalle persone che possono riferire circostanze utili ai fini delle indagini. Alle persone già sentite dal difensore o dal suo sostituto non possono essere chieste informazioni sulle domande formulate e sulle risposte date. Si applicano le disposizioni degli articoli 197, 197-</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198, 199, 200, 201, 202 e 203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Il rinvio così contemplato, quindi, è alla normativa che governa l'assunzione della testimonianza con i relativi obblighi e facoltà, come risultanti dopo le modifiche introdotte dalla legge 1° marzo 2001, n. 63.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Tra gli altri sono richiamati gli artt. 197 e 197-</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relativi alla possibile assunzione della figura di testimone cosiddetto assistito, introdotta con la nuova disciplina stabilita dalla legge n. 63 del 2001, relativamente alla posizione di soggetti imputati (o indagati per l'estensione operata dall'art. 61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in un procedimento connesso ai sensi dell'art. 12 o di un reato collegato a norma dell'art. 371, comma 2, lettera </w:t>
      </w:r>
      <w:r w:rsidRPr="00A252A2">
        <w:rPr>
          <w:rFonts w:ascii="Times New Roman" w:eastAsia="Times New Roman" w:hAnsi="Times New Roman" w:cs="Times New Roman"/>
          <w:i/>
          <w:iCs/>
          <w:color w:val="000000"/>
          <w:sz w:val="24"/>
          <w:szCs w:val="24"/>
          <w:lang w:eastAsia="it-IT"/>
        </w:rPr>
        <w:t>b</w:t>
      </w:r>
      <w:r w:rsidRPr="00A252A2">
        <w:rPr>
          <w:rFonts w:ascii="Times New Roman" w:eastAsia="Times New Roman" w:hAnsi="Times New Roman" w:cs="Times New Roman"/>
          <w:color w:val="000000"/>
          <w:sz w:val="24"/>
          <w:szCs w:val="24"/>
          <w:lang w:eastAsia="it-IT"/>
        </w:rPr>
        <w:t xml:space="preserve">),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A sua volta, l'art. 351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dispone, nel comma 1, che la polizia giudiziaria assume sommarie informazioni dalle persone che possono riferire circostanze utili ai fini delle indagini e stabilisce che si applicano le disposizioni del secondo e terzo periodo del comma 1 dell'art. 362. Per effetto di tale rinvio, pertanto, le disposizioni normative sulla testimonianza, applicabili alle informazioni assunte dal pubblico ministero, vanno osservate anche per le informazioni assunte dalla polizia giudiziaria.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Resta da aggiungere che, per il disposto dell'art. 351, comma 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all'assunzione d'informazioni da persona imputata (o indagata) in un procedimento connesso, ovvero da persona imputata (o indagata) in ordine ad un reato collegato a quello per cui sono in corso le indagini, nel caso previsto dall'art. 371, comma 2, lettera </w:t>
      </w:r>
      <w:r w:rsidRPr="00A252A2">
        <w:rPr>
          <w:rFonts w:ascii="Times New Roman" w:eastAsia="Times New Roman" w:hAnsi="Times New Roman" w:cs="Times New Roman"/>
          <w:i/>
          <w:iCs/>
          <w:color w:val="000000"/>
          <w:sz w:val="24"/>
          <w:szCs w:val="24"/>
          <w:lang w:eastAsia="it-IT"/>
        </w:rPr>
        <w:t>b</w:t>
      </w:r>
      <w:r w:rsidRPr="00A252A2">
        <w:rPr>
          <w:rFonts w:ascii="Times New Roman" w:eastAsia="Times New Roman" w:hAnsi="Times New Roman" w:cs="Times New Roman"/>
          <w:color w:val="000000"/>
          <w:sz w:val="24"/>
          <w:szCs w:val="24"/>
          <w:lang w:eastAsia="it-IT"/>
        </w:rPr>
        <w:t xml:space="preserve">), può procedere, di propria iniziativa, anche un ufficiale di polizia giudiziaria. La persona predetta, se priva del difensore, è avvisata che è assistita da un difensore di ufficio, ma che può nominarne uno di fiducia. Il difensore deve essere tempestivamente avvisato ed ha diritto di assistere all'atto.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highlight w:val="yellow"/>
          <w:lang w:eastAsia="it-IT"/>
        </w:rPr>
      </w:pPr>
      <w:r w:rsidRPr="00A252A2">
        <w:rPr>
          <w:rFonts w:ascii="Times New Roman" w:eastAsia="Times New Roman" w:hAnsi="Times New Roman" w:cs="Times New Roman"/>
          <w:color w:val="000000"/>
          <w:sz w:val="24"/>
          <w:szCs w:val="24"/>
          <w:lang w:eastAsia="it-IT"/>
        </w:rPr>
        <w:t xml:space="preserve">5.— </w:t>
      </w:r>
      <w:r w:rsidRPr="00A252A2">
        <w:rPr>
          <w:rFonts w:ascii="Times New Roman" w:eastAsia="Times New Roman" w:hAnsi="Times New Roman" w:cs="Times New Roman"/>
          <w:color w:val="000000"/>
          <w:sz w:val="24"/>
          <w:szCs w:val="24"/>
          <w:highlight w:val="yellow"/>
          <w:lang w:eastAsia="it-IT"/>
        </w:rPr>
        <w:t>Orbene, mentre il mendacio e la reticenza davanti all'autorità giudiziaria configurano le ipotesi di reato richiamate nel punto che precede, invece le informazioni false o reticenti rese alla polizia giudiziaria (incluse nella stesura originaria dell'art. 371-</w:t>
      </w:r>
      <w:r w:rsidRPr="00A252A2">
        <w:rPr>
          <w:rFonts w:ascii="Times New Roman" w:eastAsia="Times New Roman" w:hAnsi="Times New Roman" w:cs="Times New Roman"/>
          <w:i/>
          <w:iCs/>
          <w:color w:val="000000"/>
          <w:sz w:val="24"/>
          <w:szCs w:val="24"/>
          <w:highlight w:val="yellow"/>
          <w:lang w:eastAsia="it-IT"/>
        </w:rPr>
        <w:t xml:space="preserve">bis, </w:t>
      </w:r>
      <w:r w:rsidRPr="00A252A2">
        <w:rPr>
          <w:rFonts w:ascii="Times New Roman" w:eastAsia="Times New Roman" w:hAnsi="Times New Roman" w:cs="Times New Roman"/>
          <w:color w:val="000000"/>
          <w:sz w:val="24"/>
          <w:szCs w:val="24"/>
          <w:highlight w:val="yellow"/>
          <w:lang w:eastAsia="it-IT"/>
        </w:rPr>
        <w:t xml:space="preserve">secondo la formulazione contenuta nell'art. 11, comma 1, del decreto-legge 11 giugno 1992, n. 306, ma escluse al momento della conversione del decreto nella legge 7 agosto 1992, n. 356) non rientrano in una specifica fattispecie di reato. Esse, tuttavia, non sono penalmente irrilevanti, in quanto possono concorrere, in presenza degli altri elementi previsti dalla legge, ad integrare il reato di favoreggiamento personale, ai sensi dell'art. 378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(così la sentenza di questa Corte n. 416 del 1996, che dichiarò l'illegittimità costituzionale dell'art. 384, secondo comma,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nella parte in cui non prevedeva l'esclusione della punibilità per false o reticenti informazioni assunte dalla polizia giudiziaria, fornite da chi avrebbe dovuto essere avvertito della facoltà di astenersi dal renderle, a norma dell'art. 199 cod. proc.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Peraltro, avuto riguardo all'espressa limitazione stabilita nel secondo comma dell'art. 384 cod.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alle fattispecie di reato in esso contemplate (né potendosi estendere al secondo comma il riferimento che all'art. 378 è fatto, in altro e diverso contesto, dal primo comma dello stesso art. 384), la non punibilità delle dichiarazioni mendaci formulate nelle circostanze previste nel detto art. 384, secondo comma, non si estende al caso in cui esse siano rese alla polizia giudiziaria.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highlight w:val="yellow"/>
          <w:lang w:eastAsia="it-IT"/>
        </w:rPr>
        <w:t>6.— Tale diversità di disciplina, però, è palesemente irragionevole .</w:t>
      </w:r>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Invero, come questa Corte ha già messo in luce (sentenza n. 416 del 1996), le due attività d'indagine, rispettivamente previste dagli artt. 351 e 362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presentano una sostanziale omogeneità, in quanto appartengono alla fase procedimentale delle indagini preliminari. Pertanto tra il delitto di false dichiarazioni rese al pubblico ministero e quello di favoreggiamento dichiarativo, commesso con la condotta di false o reticenti informazioni rese alla polizia giudiziaria, si evidenzia una sostanziale omogeneità del bene protetto dalle fattispecie che consiste nella funzionalità di ciascuna fase rispetto agli scopi propri nei quali le esigenze investigative (specialmente agli inizi del procedimento) e quelle della ricerca della verità (specialmente nella fase finale del processo) si sommano, sicché gli artt. 378,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e 372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finiscono per presidiare ciascuno una fase distinta del procedimento e del processo, restando simmetricamente esclusa – per predominante giurisprudenza – l'eventualità che la stessa condotta integri la violazione di più d'una di tali norme secondo lo schema del concorso formale di reati (art. 81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Inoltre va segnalata l'identità delle condotte materiali (mendacio o reticenza) che nelle diverse ipotesi possono risultare rilevanti.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highlight w:val="yellow"/>
          <w:lang w:eastAsia="it-IT"/>
        </w:rPr>
        <w:t xml:space="preserve">Ma la riscontrata diversità di disciplina si palesa ancor più irrazionale considerando l'evoluzione normativa del sistema processuale che, prima con le modifiche introdotte col decreto legge n. 306 del 1992 (convertito con modificazioni dalla legge n. 356 del 1992) e poi con quelle stabilite dalla legge n. 63 del 2001, non soltanto ha statuito la sussistenza, in capo al soggetto chiamato dalla polizia giudiziaria a rendere dichiarazioni, degli stessi obblighi previsti per chi è chiamato a deporre innanzi al pubblico ministero (e per il testimone), cioè dell'obbligo di rispondere e di dire il vero, salvo il limite della possibilità di un suo coinvolgimento, ma ha portato ad una sostanziale equiparazione, anche sotto il profilo della valenza processuale, delle dichiarazioni rese alla polizia giudiziaria a quelle rese al pubblico ministero. Infatti, i verbali di entrambe possono essere utilizzati per le contestazioni, valutati per la credibilità del teste, in determinate ipotesi acquisiti al fascicolo del dibattimento ed utilizzati per la decisione (art. 500 cod. proc.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Il giudice può disporre, a richiesta di parte, che sia data lettura di entrambi i verbali quando, per fatti o circostanze imprevedibili, ne sia divenuta impossibile la ripetizione (art. 512 cod. proc.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oppure quando si tratta di dichiarazioni di persona residente all'estero nelle circostanze di cui all'art. 512-</w:t>
      </w:r>
      <w:r w:rsidRPr="00A252A2">
        <w:rPr>
          <w:rFonts w:ascii="Times New Roman" w:eastAsia="Times New Roman" w:hAnsi="Times New Roman" w:cs="Times New Roman"/>
          <w:i/>
          <w:iCs/>
          <w:color w:val="000000"/>
          <w:sz w:val="24"/>
          <w:szCs w:val="24"/>
          <w:highlight w:val="yellow"/>
          <w:lang w:eastAsia="it-IT"/>
        </w:rPr>
        <w:t xml:space="preserve">bis </w:t>
      </w:r>
      <w:r w:rsidRPr="00A252A2">
        <w:rPr>
          <w:rFonts w:ascii="Times New Roman" w:eastAsia="Times New Roman" w:hAnsi="Times New Roman" w:cs="Times New Roman"/>
          <w:color w:val="000000"/>
          <w:sz w:val="24"/>
          <w:szCs w:val="24"/>
          <w:highlight w:val="yellow"/>
          <w:lang w:eastAsia="it-IT"/>
        </w:rPr>
        <w:t xml:space="preserve">cod. proc.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nonché di dichiarazioni rese in altri procedimenti, se le stesse sono divenute irripetibili o se le parti ne consentono la lettura (art. 238, commi 3 e 4, cod. proc.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 xml:space="preserve">.) e, infine, in caso di acquisizione consensuale ai sensi degli artt. 431, comma 2, 493, comma 3, 500, comma 7, cod. proc. </w:t>
      </w:r>
      <w:proofErr w:type="spellStart"/>
      <w:r w:rsidRPr="00A252A2">
        <w:rPr>
          <w:rFonts w:ascii="Times New Roman" w:eastAsia="Times New Roman" w:hAnsi="Times New Roman" w:cs="Times New Roman"/>
          <w:color w:val="000000"/>
          <w:sz w:val="24"/>
          <w:szCs w:val="24"/>
          <w:highlight w:val="yellow"/>
          <w:lang w:eastAsia="it-IT"/>
        </w:rPr>
        <w:t>pen</w:t>
      </w:r>
      <w:proofErr w:type="spellEnd"/>
      <w:r w:rsidRPr="00A252A2">
        <w:rPr>
          <w:rFonts w:ascii="Times New Roman" w:eastAsia="Times New Roman" w:hAnsi="Times New Roman" w:cs="Times New Roman"/>
          <w:color w:val="000000"/>
          <w:sz w:val="24"/>
          <w:szCs w:val="24"/>
          <w:highlight w:val="yellow"/>
          <w:lang w:eastAsia="it-IT"/>
        </w:rPr>
        <w:t>.</w:t>
      </w:r>
      <w:r w:rsidRPr="00A252A2">
        <w:rPr>
          <w:rFonts w:ascii="Times New Roman" w:eastAsia="Times New Roman" w:hAnsi="Times New Roman" w:cs="Times New Roman"/>
          <w:color w:val="000000"/>
          <w:sz w:val="24"/>
          <w:szCs w:val="24"/>
          <w:lang w:eastAsia="it-IT"/>
        </w:rPr>
        <w:t xml:space="preserve">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Tale convergenza di disciplina processuale rende del tutto irragionevole il diverso regime giuridico riscontrabile tra le corrispondenti condotte di mendacio o reticenza, qualora esse siano riconducibili alle ipotesi di reato previste, rispettivamente, dall'art. 371-</w:t>
      </w:r>
      <w:r w:rsidRPr="00A252A2">
        <w:rPr>
          <w:rFonts w:ascii="Times New Roman" w:eastAsia="Times New Roman" w:hAnsi="Times New Roman" w:cs="Times New Roman"/>
          <w:i/>
          <w:iCs/>
          <w:color w:val="000000"/>
          <w:sz w:val="24"/>
          <w:szCs w:val="24"/>
          <w:lang w:eastAsia="it-IT"/>
        </w:rPr>
        <w:t>bis</w:t>
      </w:r>
      <w:r w:rsidRPr="00A252A2">
        <w:rPr>
          <w:rFonts w:ascii="Times New Roman" w:eastAsia="Times New Roman" w:hAnsi="Times New Roman" w:cs="Times New Roman"/>
          <w:color w:val="000000"/>
          <w:sz w:val="24"/>
          <w:szCs w:val="24"/>
          <w:lang w:eastAsia="it-IT"/>
        </w:rPr>
        <w:t xml:space="preserve"> e dall'art. 378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(limitatamente alla condotta di false o reticenti informazioni assunte dalla polizia giudiziaria), non essendo applicabile alla seconda ipotesi (per mancata previsione normativa) la citata causa di non punibilità nel caso di assunzione d'informazioni ad opera della polizia giudiziaria, ancorché non sia configurabile in capo al dichiarante un obbligo di renderle o comunque di rispondere in quanto persona indagata per reato </w:t>
      </w:r>
      <w:proofErr w:type="spellStart"/>
      <w:r w:rsidRPr="00A252A2">
        <w:rPr>
          <w:rFonts w:ascii="Times New Roman" w:eastAsia="Times New Roman" w:hAnsi="Times New Roman" w:cs="Times New Roman"/>
          <w:color w:val="000000"/>
          <w:sz w:val="24"/>
          <w:szCs w:val="24"/>
          <w:lang w:eastAsia="it-IT"/>
        </w:rPr>
        <w:t>probatoriamente</w:t>
      </w:r>
      <w:proofErr w:type="spellEnd"/>
      <w:r w:rsidRPr="00A252A2">
        <w:rPr>
          <w:rFonts w:ascii="Times New Roman" w:eastAsia="Times New Roman" w:hAnsi="Times New Roman" w:cs="Times New Roman"/>
          <w:color w:val="000000"/>
          <w:sz w:val="24"/>
          <w:szCs w:val="24"/>
          <w:lang w:eastAsia="it-IT"/>
        </w:rPr>
        <w:t xml:space="preserve"> collegato, a norma dell'art. 371, comma 2, lettera </w:t>
      </w:r>
      <w:r w:rsidRPr="00A252A2">
        <w:rPr>
          <w:rFonts w:ascii="Times New Roman" w:eastAsia="Times New Roman" w:hAnsi="Times New Roman" w:cs="Times New Roman"/>
          <w:i/>
          <w:iCs/>
          <w:color w:val="000000"/>
          <w:sz w:val="24"/>
          <w:szCs w:val="24"/>
          <w:lang w:eastAsia="it-IT"/>
        </w:rPr>
        <w:t>b</w:t>
      </w:r>
      <w:r w:rsidRPr="00A252A2">
        <w:rPr>
          <w:rFonts w:ascii="Times New Roman" w:eastAsia="Times New Roman" w:hAnsi="Times New Roman" w:cs="Times New Roman"/>
          <w:color w:val="000000"/>
          <w:sz w:val="24"/>
          <w:szCs w:val="24"/>
          <w:lang w:eastAsia="it-IT"/>
        </w:rPr>
        <w:t xml:space="preserve">), cod. proc.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a quello (commesso da altri) cui le dichiarazioni stesse si riferiscono. </w:t>
      </w:r>
    </w:p>
    <w:p w:rsidR="00A252A2" w:rsidRPr="00A252A2" w:rsidRDefault="00A252A2" w:rsidP="00A252A2">
      <w:pPr>
        <w:spacing w:after="0"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Da quanto esposto consegue l'illegittimità costituzionale, per violazione dell'art. 3 Cost. sotto il profilo della ragionevolezza, dell'art. 384, secondo comma, cod. </w:t>
      </w:r>
      <w:proofErr w:type="spellStart"/>
      <w:r w:rsidRPr="00A252A2">
        <w:rPr>
          <w:rFonts w:ascii="Times New Roman" w:eastAsia="Times New Roman" w:hAnsi="Times New Roman" w:cs="Times New Roman"/>
          <w:color w:val="000000"/>
          <w:sz w:val="24"/>
          <w:szCs w:val="24"/>
          <w:lang w:eastAsia="it-IT"/>
        </w:rPr>
        <w:t>pen</w:t>
      </w:r>
      <w:proofErr w:type="spellEnd"/>
      <w:r w:rsidRPr="00A252A2">
        <w:rPr>
          <w:rFonts w:ascii="Times New Roman" w:eastAsia="Times New Roman" w:hAnsi="Times New Roman" w:cs="Times New Roman"/>
          <w:color w:val="000000"/>
          <w:sz w:val="24"/>
          <w:szCs w:val="24"/>
          <w:lang w:eastAsia="it-IT"/>
        </w:rPr>
        <w:t xml:space="preserve">., nella parte in cui non prevede l'esclusione della punibilità per false o reticenti informazioni assunte dalla polizia giudiziaria, fornite da chi non avrebbe potuto essere obbligato a renderle o comunque a rispondere per la ragione ora indicata. </w:t>
      </w:r>
    </w:p>
    <w:p w:rsidR="00A252A2" w:rsidRPr="00A252A2" w:rsidRDefault="00A252A2" w:rsidP="00A252A2">
      <w:pPr>
        <w:spacing w:before="567" w:after="0" w:line="240" w:lineRule="auto"/>
        <w:jc w:val="center"/>
        <w:rPr>
          <w:rFonts w:ascii="Times New Roman" w:eastAsia="Times New Roman" w:hAnsi="Times New Roman" w:cs="Times New Roman"/>
          <w:smallCaps/>
          <w:color w:val="000000"/>
          <w:sz w:val="20"/>
          <w:szCs w:val="20"/>
          <w:lang w:eastAsia="it-IT"/>
        </w:rPr>
      </w:pPr>
      <w:bookmarkStart w:id="2" w:name="dispositivo"/>
      <w:bookmarkEnd w:id="2"/>
      <w:r w:rsidRPr="00A252A2">
        <w:rPr>
          <w:rFonts w:ascii="Times New Roman" w:eastAsia="Times New Roman" w:hAnsi="Times New Roman" w:cs="Times New Roman"/>
          <w:smallCaps/>
          <w:color w:val="000000"/>
          <w:sz w:val="20"/>
          <w:szCs w:val="20"/>
          <w:lang w:eastAsia="it-IT"/>
        </w:rPr>
        <w:t xml:space="preserve">per questi motivi </w:t>
      </w:r>
    </w:p>
    <w:p w:rsidR="00A252A2" w:rsidRPr="00B94193" w:rsidRDefault="00A252A2" w:rsidP="00A252A2">
      <w:pPr>
        <w:spacing w:before="170" w:after="284" w:line="240" w:lineRule="auto"/>
        <w:jc w:val="center"/>
        <w:rPr>
          <w:rFonts w:ascii="Times New Roman" w:eastAsia="Times New Roman" w:hAnsi="Times New Roman" w:cs="Times New Roman"/>
          <w:caps/>
          <w:color w:val="000000"/>
          <w:sz w:val="28"/>
          <w:szCs w:val="28"/>
          <w:highlight w:val="yellow"/>
          <w:lang w:eastAsia="it-IT"/>
        </w:rPr>
      </w:pPr>
      <w:r w:rsidRPr="00B94193">
        <w:rPr>
          <w:rFonts w:ascii="Times New Roman" w:eastAsia="Times New Roman" w:hAnsi="Times New Roman" w:cs="Times New Roman"/>
          <w:caps/>
          <w:color w:val="000000"/>
          <w:sz w:val="28"/>
          <w:szCs w:val="28"/>
          <w:highlight w:val="yellow"/>
          <w:lang w:eastAsia="it-IT"/>
        </w:rPr>
        <w:t xml:space="preserve">LA CORTE COSTITUZIONALE </w:t>
      </w:r>
    </w:p>
    <w:p w:rsidR="00A252A2" w:rsidRPr="00A252A2" w:rsidRDefault="00A252A2" w:rsidP="00A252A2">
      <w:pPr>
        <w:spacing w:after="113" w:line="240" w:lineRule="auto"/>
        <w:ind w:firstLine="397"/>
        <w:jc w:val="both"/>
        <w:rPr>
          <w:rFonts w:ascii="Times New Roman" w:eastAsia="Times New Roman" w:hAnsi="Times New Roman" w:cs="Times New Roman"/>
          <w:color w:val="000000"/>
          <w:sz w:val="24"/>
          <w:szCs w:val="24"/>
          <w:lang w:eastAsia="it-IT"/>
        </w:rPr>
      </w:pPr>
      <w:r w:rsidRPr="00B94193">
        <w:rPr>
          <w:rFonts w:ascii="Times New Roman" w:eastAsia="Times New Roman" w:hAnsi="Times New Roman" w:cs="Times New Roman"/>
          <w:i/>
          <w:iCs/>
          <w:color w:val="000000"/>
          <w:sz w:val="24"/>
          <w:szCs w:val="24"/>
          <w:highlight w:val="yellow"/>
          <w:lang w:eastAsia="it-IT"/>
        </w:rPr>
        <w:t>dichiara</w:t>
      </w:r>
      <w:r w:rsidRPr="00B94193">
        <w:rPr>
          <w:rFonts w:ascii="Times New Roman" w:eastAsia="Times New Roman" w:hAnsi="Times New Roman" w:cs="Times New Roman"/>
          <w:color w:val="000000"/>
          <w:sz w:val="24"/>
          <w:szCs w:val="24"/>
          <w:highlight w:val="yellow"/>
          <w:lang w:eastAsia="it-IT"/>
        </w:rPr>
        <w:t xml:space="preserve"> l'illegittimità costituzionale dell'art. 384, secondo comma, del codice penale, nella parte in cui non prevede l'esclusione della punibilità per false o reticenti informazioni assunte dalla polizia giudiziaria, fornite da chi non avrebbe potuto essere obbligato a renderle o comunque a rispondere in quanto persona indagata per reato </w:t>
      </w:r>
      <w:proofErr w:type="spellStart"/>
      <w:r w:rsidRPr="00B94193">
        <w:rPr>
          <w:rFonts w:ascii="Times New Roman" w:eastAsia="Times New Roman" w:hAnsi="Times New Roman" w:cs="Times New Roman"/>
          <w:color w:val="000000"/>
          <w:sz w:val="24"/>
          <w:szCs w:val="24"/>
          <w:highlight w:val="yellow"/>
          <w:lang w:eastAsia="it-IT"/>
        </w:rPr>
        <w:t>probatoriamente</w:t>
      </w:r>
      <w:proofErr w:type="spellEnd"/>
      <w:r w:rsidRPr="00B94193">
        <w:rPr>
          <w:rFonts w:ascii="Times New Roman" w:eastAsia="Times New Roman" w:hAnsi="Times New Roman" w:cs="Times New Roman"/>
          <w:color w:val="000000"/>
          <w:sz w:val="24"/>
          <w:szCs w:val="24"/>
          <w:highlight w:val="yellow"/>
          <w:lang w:eastAsia="it-IT"/>
        </w:rPr>
        <w:t xml:space="preserve"> collegato – a norma dell'art. 371, comma 2, lettera </w:t>
      </w:r>
      <w:r w:rsidRPr="00B94193">
        <w:rPr>
          <w:rFonts w:ascii="Times New Roman" w:eastAsia="Times New Roman" w:hAnsi="Times New Roman" w:cs="Times New Roman"/>
          <w:i/>
          <w:iCs/>
          <w:color w:val="000000"/>
          <w:sz w:val="24"/>
          <w:szCs w:val="24"/>
          <w:highlight w:val="yellow"/>
          <w:lang w:eastAsia="it-IT"/>
        </w:rPr>
        <w:t>b</w:t>
      </w:r>
      <w:r w:rsidRPr="00B94193">
        <w:rPr>
          <w:rFonts w:ascii="Times New Roman" w:eastAsia="Times New Roman" w:hAnsi="Times New Roman" w:cs="Times New Roman"/>
          <w:color w:val="000000"/>
          <w:sz w:val="24"/>
          <w:szCs w:val="24"/>
          <w:highlight w:val="yellow"/>
          <w:lang w:eastAsia="it-IT"/>
        </w:rPr>
        <w:t>), codice di procedura penale – a quello, commesso da altri, cui le dichiarazioni stesse si riferiscono.</w:t>
      </w:r>
      <w:r w:rsidRPr="00A252A2">
        <w:rPr>
          <w:rFonts w:ascii="Times New Roman" w:eastAsia="Times New Roman" w:hAnsi="Times New Roman" w:cs="Times New Roman"/>
          <w:color w:val="000000"/>
          <w:sz w:val="24"/>
          <w:szCs w:val="24"/>
          <w:lang w:eastAsia="it-IT"/>
        </w:rPr>
        <w:t xml:space="preserve"> </w:t>
      </w:r>
    </w:p>
    <w:p w:rsidR="00A252A2" w:rsidRDefault="00A252A2" w:rsidP="00A252A2">
      <w:pPr>
        <w:spacing w:after="113" w:line="240" w:lineRule="auto"/>
        <w:ind w:firstLine="397"/>
        <w:jc w:val="both"/>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Così deciso in Roma, nella sede della Corte costituzionale, Palazzo della Consulta, l'11 marzo 2009. </w:t>
      </w:r>
    </w:p>
    <w:p w:rsidR="00A252A2" w:rsidRPr="00A252A2" w:rsidRDefault="00A252A2" w:rsidP="00A252A2">
      <w:pPr>
        <w:spacing w:after="113" w:line="240" w:lineRule="auto"/>
        <w:ind w:firstLine="397"/>
        <w:jc w:val="both"/>
        <w:rPr>
          <w:rFonts w:ascii="Times New Roman" w:eastAsia="Times New Roman" w:hAnsi="Times New Roman" w:cs="Times New Roman"/>
          <w:color w:val="000000"/>
          <w:sz w:val="24"/>
          <w:szCs w:val="24"/>
          <w:lang w:eastAsia="it-IT"/>
        </w:rPr>
      </w:pPr>
    </w:p>
    <w:p w:rsidR="00A252A2" w:rsidRPr="00A252A2" w:rsidRDefault="00A252A2" w:rsidP="00A252A2">
      <w:pPr>
        <w:spacing w:before="170" w:after="0" w:line="240" w:lineRule="auto"/>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F.to: </w:t>
      </w:r>
    </w:p>
    <w:p w:rsidR="00A252A2" w:rsidRPr="00A252A2" w:rsidRDefault="00A252A2" w:rsidP="00A252A2">
      <w:pPr>
        <w:spacing w:before="170" w:after="0" w:line="240" w:lineRule="auto"/>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Francesco AMIRANTE, Presidente </w:t>
      </w:r>
    </w:p>
    <w:p w:rsidR="00A252A2" w:rsidRPr="00A252A2" w:rsidRDefault="00A252A2" w:rsidP="00A252A2">
      <w:pPr>
        <w:spacing w:before="170" w:after="0" w:line="240" w:lineRule="auto"/>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Alessandro CRISCUOLO, Redattore </w:t>
      </w:r>
    </w:p>
    <w:p w:rsidR="00A252A2" w:rsidRPr="00A252A2" w:rsidRDefault="00A252A2" w:rsidP="00A252A2">
      <w:pPr>
        <w:spacing w:before="170" w:after="0" w:line="240" w:lineRule="auto"/>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Giuseppe </w:t>
      </w:r>
      <w:proofErr w:type="spellStart"/>
      <w:r w:rsidRPr="00A252A2">
        <w:rPr>
          <w:rFonts w:ascii="Times New Roman" w:eastAsia="Times New Roman" w:hAnsi="Times New Roman" w:cs="Times New Roman"/>
          <w:color w:val="000000"/>
          <w:sz w:val="24"/>
          <w:szCs w:val="24"/>
          <w:lang w:eastAsia="it-IT"/>
        </w:rPr>
        <w:t>DI</w:t>
      </w:r>
      <w:proofErr w:type="spellEnd"/>
      <w:r w:rsidRPr="00A252A2">
        <w:rPr>
          <w:rFonts w:ascii="Times New Roman" w:eastAsia="Times New Roman" w:hAnsi="Times New Roman" w:cs="Times New Roman"/>
          <w:color w:val="000000"/>
          <w:sz w:val="24"/>
          <w:szCs w:val="24"/>
          <w:lang w:eastAsia="it-IT"/>
        </w:rPr>
        <w:t xml:space="preserve"> PAOLA, Cancelliere </w:t>
      </w:r>
    </w:p>
    <w:p w:rsidR="00A252A2" w:rsidRPr="00A252A2" w:rsidRDefault="00A252A2" w:rsidP="00A252A2">
      <w:pPr>
        <w:spacing w:before="170" w:after="0" w:line="240" w:lineRule="auto"/>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Depositata in Cancelleria il 20 marzo 2009. </w:t>
      </w:r>
    </w:p>
    <w:p w:rsidR="00A252A2" w:rsidRPr="00A252A2" w:rsidRDefault="00A252A2" w:rsidP="00A252A2">
      <w:pPr>
        <w:spacing w:before="170" w:after="0" w:line="240" w:lineRule="auto"/>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Il Direttore della Cancelleria </w:t>
      </w:r>
    </w:p>
    <w:p w:rsidR="00A252A2" w:rsidRPr="00A252A2" w:rsidRDefault="00A252A2" w:rsidP="00A252A2">
      <w:pPr>
        <w:spacing w:before="170" w:after="0" w:line="240" w:lineRule="auto"/>
        <w:rPr>
          <w:rFonts w:ascii="Times New Roman" w:eastAsia="Times New Roman" w:hAnsi="Times New Roman" w:cs="Times New Roman"/>
          <w:color w:val="000000"/>
          <w:sz w:val="24"/>
          <w:szCs w:val="24"/>
          <w:lang w:eastAsia="it-IT"/>
        </w:rPr>
      </w:pPr>
      <w:r w:rsidRPr="00A252A2">
        <w:rPr>
          <w:rFonts w:ascii="Times New Roman" w:eastAsia="Times New Roman" w:hAnsi="Times New Roman" w:cs="Times New Roman"/>
          <w:color w:val="000000"/>
          <w:sz w:val="24"/>
          <w:szCs w:val="24"/>
          <w:lang w:eastAsia="it-IT"/>
        </w:rPr>
        <w:t xml:space="preserve">F.to: </w:t>
      </w:r>
      <w:proofErr w:type="spellStart"/>
      <w:r w:rsidRPr="00A252A2">
        <w:rPr>
          <w:rFonts w:ascii="Times New Roman" w:eastAsia="Times New Roman" w:hAnsi="Times New Roman" w:cs="Times New Roman"/>
          <w:color w:val="000000"/>
          <w:sz w:val="24"/>
          <w:szCs w:val="24"/>
          <w:lang w:eastAsia="it-IT"/>
        </w:rPr>
        <w:t>DI</w:t>
      </w:r>
      <w:proofErr w:type="spellEnd"/>
      <w:r w:rsidRPr="00A252A2">
        <w:rPr>
          <w:rFonts w:ascii="Times New Roman" w:eastAsia="Times New Roman" w:hAnsi="Times New Roman" w:cs="Times New Roman"/>
          <w:color w:val="000000"/>
          <w:sz w:val="24"/>
          <w:szCs w:val="24"/>
          <w:lang w:eastAsia="it-IT"/>
        </w:rPr>
        <w:t xml:space="preserve"> PAOLA </w:t>
      </w:r>
    </w:p>
    <w:p w:rsidR="00A252A2" w:rsidRDefault="00A252A2" w:rsidP="00A252A2"/>
    <w:sectPr w:rsidR="00A252A2" w:rsidSect="00EE05A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savePreviewPicture/>
  <w:compat/>
  <w:rsids>
    <w:rsidRoot w:val="00EE05A8"/>
    <w:rsid w:val="000E4814"/>
    <w:rsid w:val="001A34B2"/>
    <w:rsid w:val="001A5D60"/>
    <w:rsid w:val="00596F7B"/>
    <w:rsid w:val="006F5249"/>
    <w:rsid w:val="00715759"/>
    <w:rsid w:val="00931BF0"/>
    <w:rsid w:val="00A252A2"/>
    <w:rsid w:val="00B3280A"/>
    <w:rsid w:val="00B94193"/>
    <w:rsid w:val="00BE63DB"/>
    <w:rsid w:val="00EE05A8"/>
    <w:rsid w:val="00FC35E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A34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252A2"/>
    <w:pPr>
      <w:spacing w:after="0" w:line="240" w:lineRule="auto"/>
    </w:pPr>
    <w:rPr>
      <w:rFonts w:ascii="Arial" w:eastAsia="Times New Roman" w:hAnsi="Arial" w:cs="Arial"/>
      <w:color w:val="000000"/>
      <w:sz w:val="18"/>
      <w:szCs w:val="18"/>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5172E-5742-4334-A06C-103904A86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14</Pages>
  <Words>8921</Words>
  <Characters>50852</Characters>
  <Application>Microsoft Office Word</Application>
  <DocSecurity>0</DocSecurity>
  <Lines>423</Lines>
  <Paragraphs>119</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59654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cp:lastModifiedBy>
  <cp:revision>7</cp:revision>
  <dcterms:created xsi:type="dcterms:W3CDTF">2010-10-29T21:25:00Z</dcterms:created>
  <dcterms:modified xsi:type="dcterms:W3CDTF">2010-12-29T11:20:00Z</dcterms:modified>
</cp:coreProperties>
</file>